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N/>
        <w:bidi w:val="0"/>
        <w:adjustRightInd/>
        <w:spacing w:line="560" w:lineRule="exact"/>
        <w:ind w:firstLine="0" w:firstLineChars="0"/>
        <w:textAlignment w:val="auto"/>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2023年农业产业发展资金（农机购置与</w:t>
      </w: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应用补贴、渔业发展方向）实施方案</w:t>
      </w:r>
    </w:p>
    <w:bookmarkEnd w:id="0"/>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本批次农业产业发展资金项目重点支持农机购置与应用补贴、渔业发展方向。</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一、农机购置与应用补贴</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楷体_GB2312" w:eastAsia="楷体_GB2312"/>
          <w:b/>
          <w:bCs/>
          <w:sz w:val="32"/>
          <w:szCs w:val="32"/>
        </w:rPr>
      </w:pPr>
      <w:r>
        <w:rPr>
          <w:rFonts w:hint="eastAsia" w:ascii="楷体_GB2312" w:eastAsia="楷体_GB2312"/>
          <w:b/>
          <w:bCs/>
          <w:sz w:val="32"/>
          <w:szCs w:val="32"/>
        </w:rPr>
        <w:t>（一）项目实施内容</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按照《2021—2023年农机购置补贴实施指导意见》，对从事农业生产的个人和农业生产经营组织（以下简称“购机者”）购买农机进行补贴，其中农业生产经营组织包括农村集体经济组织、农民专业合作经济组织、农业企业和其他从事农业生产经营的组织。</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hint="eastAsia" w:ascii="楷体_GB2312" w:eastAsia="楷体_GB2312" w:cs="Times New Roman"/>
          <w:b/>
          <w:bCs/>
          <w:sz w:val="32"/>
          <w:szCs w:val="32"/>
        </w:rPr>
      </w:pPr>
      <w:r>
        <w:rPr>
          <w:rFonts w:hint="eastAsia" w:ascii="楷体_GB2312" w:eastAsia="楷体_GB2312" w:cs="Times New Roman"/>
          <w:b/>
          <w:bCs/>
          <w:sz w:val="32"/>
          <w:szCs w:val="32"/>
        </w:rPr>
        <w:t>（二）补贴机具范围及标准</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农机购置与应用补贴实行定额补贴。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具体品目及补贴额详见公开发布的《补贴机具补贴额一览表》。</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hint="eastAsia" w:ascii="楷体_GB2312" w:eastAsia="楷体_GB2312" w:cs="Times New Roman"/>
          <w:b/>
          <w:bCs/>
          <w:sz w:val="32"/>
          <w:szCs w:val="32"/>
        </w:rPr>
      </w:pPr>
      <w:r>
        <w:rPr>
          <w:rFonts w:hint="eastAsia" w:ascii="楷体_GB2312" w:eastAsia="楷体_GB2312" w:cs="Times New Roman"/>
          <w:b/>
          <w:bCs/>
          <w:sz w:val="32"/>
          <w:szCs w:val="32"/>
        </w:rPr>
        <w:t>（三）资金支出环节</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规定申办补贴，由财政部门向购机者兑付。</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hint="eastAsia" w:ascii="楷体_GB2312" w:eastAsia="楷体_GB2312" w:cs="Times New Roman"/>
          <w:b/>
          <w:bCs/>
          <w:sz w:val="32"/>
          <w:szCs w:val="32"/>
        </w:rPr>
      </w:pPr>
      <w:r>
        <w:rPr>
          <w:rFonts w:hint="eastAsia" w:ascii="楷体_GB2312" w:eastAsia="楷体_GB2312" w:cs="Times New Roman"/>
          <w:b/>
          <w:bCs/>
          <w:sz w:val="32"/>
          <w:szCs w:val="32"/>
        </w:rPr>
        <w:t>（四）实施要求</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着力推进优机优补，重点支持高性能精量播种机、高效低损收获机、大豆玉米带状复合种植等粮食生产机具和苹果产业配套机具，将大豆收获机、大豆收获专用割台品目纳入补贴机具种类范围。按规定按程序将粮食烘干成套设施装备纳入农机新产品补贴试点范围，按照《加快粮食产地烘干能力建设的意见》，结合当地实际因地制宜提升烘干能力。</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2.全面实行农机购置与应用补贴辅助管理系统常年连续开放。购机者购买符合补贴资质要求的农机产品后，可按规定通过手机 APP 等提出补贴申请，各地应及时受理，加快开展补贴申请审核，限时完成审验公示等工作程序。</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进一步完善县级农机购置与应用补贴信息公开专栏建设，全面及时公开近三年县域内补贴受益对象、咨询投诉举报电话、补贴资金规模及使用进度等各类信息，认真受理群众关于农机购置与应用补贴工作的信访、举报或投诉，并对有关问题及时进行跟踪反馈。</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4.做好农机购置与应用补贴政策实施异常情形报告工作，进一步加强监管，严厉打击农机购置与应用补贴工作中的违规行为。</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二、渔业发展</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hint="eastAsia" w:ascii="楷体_GB2312" w:eastAsia="楷体_GB2312" w:cs="Times New Roman"/>
          <w:b/>
          <w:bCs/>
          <w:sz w:val="32"/>
          <w:szCs w:val="32"/>
        </w:rPr>
      </w:pPr>
      <w:r>
        <w:rPr>
          <w:rFonts w:hint="eastAsia" w:ascii="楷体_GB2312" w:eastAsia="楷体_GB2312" w:cs="Times New Roman"/>
          <w:b/>
          <w:bCs/>
          <w:sz w:val="32"/>
          <w:szCs w:val="32"/>
        </w:rPr>
        <w:t>（一）项目建设内容</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b/>
          <w:bCs/>
          <w:sz w:val="32"/>
          <w:szCs w:val="32"/>
        </w:rPr>
        <w:t>1.现代渔业装备设施。</w:t>
      </w:r>
      <w:r>
        <w:rPr>
          <w:rFonts w:hint="eastAsia" w:ascii="仿宋_GB2312" w:eastAsia="仿宋_GB2312"/>
          <w:sz w:val="32"/>
          <w:szCs w:val="32"/>
        </w:rPr>
        <w:t>包括水产品初加工和冷藏保鲜和智能增氧设备。其中水产品初加工和冷藏保鲜主要支持：水产品清洗、分级、分割、包装、低温暂养、保鲜冷冻、副产品利用、废水处理、信息化等设备购置。智能增氧设备主要支持：鼓风机、增氧机、溶氧监控、自动开关控制等设备购置。</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cs="Times New Roman"/>
          <w:b/>
          <w:bCs/>
          <w:sz w:val="32"/>
          <w:szCs w:val="32"/>
        </w:rPr>
        <w:t>2.渔业绿色循环发展。</w:t>
      </w:r>
      <w:r>
        <w:rPr>
          <w:rFonts w:hint="eastAsia" w:ascii="仿宋_GB2312" w:eastAsia="仿宋_GB2312"/>
          <w:sz w:val="32"/>
          <w:szCs w:val="32"/>
        </w:rPr>
        <w:t>包括集中连片养殖池塘标准化改造和养殖尾水处理达标和水质监控系统。其中集中连片养殖池塘标准化改造和养殖尾水处理达标按照《农业农村部办公厅财政部办公厅关于开展渔业绿色循环发展试点工作的通知》要求，以整县推进的方式，试点开展。支持养殖池塘标准化改造。主要包括：池塘整形清淤、池塘挖沟起垄、池塘护坡、进排水系统改造、养殖设备及电力设备配置；支持养殖尾水处理工程。复合人工湿地尾水处理模式、“三池两坝”（稳定塘+过滤坝）尾水处理模式、池塘底排污模式、池塘工程化循环水模式、多营养层级立体生态养殖模式等。主要建设内容包括：生态沟渠、沉淀池、生物接触氧化池、潜流/表流湿地、生态塘、过滤坝、底排污系统装置以及养殖水槽、曝气增氧、吸污系统、鱼菜共生综合种养设施设备、精准投饲等环保养殖设施设备等。水质监控系统主要包括：溶氧、氨氮、亚硝酸盐、PH、温度等水质情况监测控制等设备，以及相关参数分析处理软件系统的购置。</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hint="eastAsia" w:ascii="楷体_GB2312" w:eastAsia="楷体_GB2312" w:cs="Times New Roman"/>
          <w:b/>
          <w:bCs/>
          <w:sz w:val="32"/>
          <w:szCs w:val="32"/>
        </w:rPr>
      </w:pPr>
      <w:r>
        <w:rPr>
          <w:rFonts w:hint="eastAsia" w:ascii="楷体_GB2312" w:eastAsia="楷体_GB2312" w:cs="Times New Roman"/>
          <w:b/>
          <w:bCs/>
          <w:sz w:val="32"/>
          <w:szCs w:val="32"/>
        </w:rPr>
        <w:t>（二）补助对象与标准</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渔业发展方向补助资金补助对象主要为渔业生产经营主体，包括合作社、公司、企事业等。</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b/>
          <w:bCs/>
          <w:sz w:val="32"/>
          <w:szCs w:val="32"/>
        </w:rPr>
        <w:t>1.现代渔业装备设施。</w:t>
      </w:r>
      <w:r>
        <w:rPr>
          <w:rFonts w:hint="eastAsia" w:ascii="仿宋_GB2312" w:eastAsia="仿宋_GB2312"/>
          <w:sz w:val="32"/>
          <w:szCs w:val="32"/>
        </w:rPr>
        <w:t>水产品初加工和冷藏保鲜补助标准为：单个设备补助不超过各设备补助上限（设备补助类型及标准见附表1），且不超过设备购置价格的30%。智能增氧设备补助标准为：每个装备补助不超过20万元，且不超过设备购置价格的30%。</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b/>
          <w:bCs/>
          <w:sz w:val="32"/>
          <w:szCs w:val="32"/>
        </w:rPr>
        <w:t>2.渔业绿色循环发展。</w:t>
      </w:r>
      <w:r>
        <w:rPr>
          <w:rFonts w:hint="eastAsia" w:ascii="仿宋_GB2312" w:eastAsia="仿宋_GB2312"/>
          <w:sz w:val="32"/>
          <w:szCs w:val="32"/>
        </w:rPr>
        <w:t>集中连片养殖池塘标准化改造和养殖尾水处理达标补助标准为：每亩补助2000元。水质监控系统补助标准为：每个系统补助不超过50万元，且不超过设备购置价格的30%。</w:t>
      </w: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附表：1.2023年农机购置与应用补贴方向资金计划表</w:t>
      </w:r>
    </w:p>
    <w:p>
      <w:pPr>
        <w:pStyle w:val="2"/>
        <w:keepNext w:val="0"/>
        <w:keepLines w:val="0"/>
        <w:pageBreakBefore w:val="0"/>
        <w:widowControl w:val="0"/>
        <w:kinsoku/>
        <w:wordWrap/>
        <w:overflowPunct/>
        <w:topLinePunct w:val="0"/>
        <w:autoSpaceDN/>
        <w:bidi w:val="0"/>
        <w:adjustRightIn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2.水产品加工和仓储保鲜设备补助类型及标准</w:t>
      </w:r>
    </w:p>
    <w:p>
      <w:pPr>
        <w:pStyle w:val="2"/>
        <w:keepNext w:val="0"/>
        <w:keepLines w:val="0"/>
        <w:pageBreakBefore w:val="0"/>
        <w:widowControl w:val="0"/>
        <w:kinsoku/>
        <w:wordWrap/>
        <w:overflowPunct/>
        <w:topLinePunct w:val="0"/>
        <w:autoSpaceDN/>
        <w:bidi w:val="0"/>
        <w:adjustRightIn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3.2023年渔业发展方向资金计划表</w:t>
      </w:r>
    </w:p>
    <w:p>
      <w:pPr>
        <w:pStyle w:val="2"/>
        <w:keepNext w:val="0"/>
        <w:keepLines w:val="0"/>
        <w:pageBreakBefore w:val="0"/>
        <w:widowControl w:val="0"/>
        <w:kinsoku/>
        <w:wordWrap/>
        <w:overflowPunct/>
        <w:topLinePunct w:val="0"/>
        <w:autoSpaceDN/>
        <w:bidi w:val="0"/>
        <w:adjustRightInd/>
        <w:spacing w:line="560" w:lineRule="exact"/>
        <w:ind w:firstLine="1600" w:firstLineChars="500"/>
        <w:textAlignment w:val="auto"/>
        <w:rPr>
          <w:rFonts w:ascii="仿宋_GB2312" w:eastAsia="仿宋_GB2312"/>
          <w:sz w:val="32"/>
          <w:szCs w:val="32"/>
        </w:rPr>
        <w:sectPr>
          <w:foot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425" w:num="1"/>
          <w:docGrid w:linePitch="312" w:charSpace="0"/>
        </w:sectPr>
      </w:pPr>
    </w:p>
    <w:p>
      <w:pPr>
        <w:pStyle w:val="2"/>
        <w:spacing w:line="500" w:lineRule="exact"/>
        <w:ind w:firstLine="0" w:firstLineChars="0"/>
      </w:pPr>
      <w:r>
        <w:rPr>
          <w:rFonts w:hint="eastAsia" w:ascii="黑体" w:hAnsi="黑体" w:eastAsia="黑体" w:cs="黑体"/>
          <w:sz w:val="32"/>
          <w:szCs w:val="32"/>
        </w:rPr>
        <w:t>附表</w:t>
      </w:r>
    </w:p>
    <w:p>
      <w:pPr>
        <w:widowControl/>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2023年农机购置补贴资金计划表</w:t>
      </w:r>
    </w:p>
    <w:p>
      <w:pPr>
        <w:pStyle w:val="4"/>
        <w:ind w:firstLine="0" w:firstLineChars="0"/>
        <w:jc w:val="right"/>
        <w:rPr>
          <w:rFonts w:ascii="仿宋_GB2312" w:hAnsi="宋体" w:cs="宋体"/>
          <w:sz w:val="20"/>
          <w:szCs w:val="20"/>
        </w:rPr>
      </w:pPr>
      <w:r>
        <w:rPr>
          <w:rFonts w:hint="eastAsia" w:ascii="仿宋_GB2312" w:hAnsi="宋体" w:cs="宋体"/>
          <w:sz w:val="20"/>
          <w:szCs w:val="20"/>
        </w:rPr>
        <w:t>单位：万元</w:t>
      </w:r>
    </w:p>
    <w:tbl>
      <w:tblPr>
        <w:tblStyle w:val="13"/>
        <w:tblW w:w="1451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740"/>
        <w:gridCol w:w="2681"/>
        <w:gridCol w:w="4195"/>
        <w:gridCol w:w="2158"/>
        <w:gridCol w:w="27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5" w:hRule="atLeast"/>
        </w:trPr>
        <w:tc>
          <w:tcPr>
            <w:tcW w:w="2740" w:type="dxa"/>
            <w:vMerge w:val="restart"/>
            <w:tcBorders>
              <w:tl2br w:val="nil"/>
              <w:tr2bl w:val="nil"/>
            </w:tcBorders>
            <w:shd w:val="clear" w:color="auto" w:fill="FFFFFF" w:themeFill="background1"/>
            <w:vAlign w:val="center"/>
          </w:tcPr>
          <w:p>
            <w:pPr>
              <w:widowControl/>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县（市、区）</w:t>
            </w:r>
          </w:p>
        </w:tc>
        <w:tc>
          <w:tcPr>
            <w:tcW w:w="2681" w:type="dxa"/>
            <w:vMerge w:val="restart"/>
            <w:tcBorders>
              <w:tl2br w:val="nil"/>
              <w:tr2bl w:val="nil"/>
            </w:tcBorders>
            <w:shd w:val="clear" w:color="auto" w:fill="FFFFFF" w:themeFill="background1"/>
            <w:vAlign w:val="center"/>
          </w:tcPr>
          <w:p>
            <w:pPr>
              <w:widowControl/>
              <w:jc w:val="center"/>
              <w:textAlignment w:val="center"/>
              <w:rPr>
                <w:rFonts w:ascii="黑体" w:hAnsi="黑体" w:eastAsia="黑体" w:cs="黑体"/>
                <w:color w:val="000000"/>
                <w:sz w:val="28"/>
                <w:szCs w:val="28"/>
              </w:rPr>
            </w:pPr>
            <w:r>
              <w:rPr>
                <w:rStyle w:val="37"/>
                <w:rFonts w:hint="default" w:hAnsi="黑体"/>
                <w:sz w:val="28"/>
                <w:szCs w:val="28"/>
              </w:rPr>
              <w:t>中央转移支付</w:t>
            </w:r>
          </w:p>
        </w:tc>
        <w:tc>
          <w:tcPr>
            <w:tcW w:w="6353" w:type="dxa"/>
            <w:gridSpan w:val="2"/>
            <w:tcBorders>
              <w:tl2br w:val="nil"/>
              <w:tr2bl w:val="nil"/>
            </w:tcBorders>
            <w:shd w:val="clear" w:color="auto" w:fill="FFFFFF" w:themeFill="background1"/>
            <w:vAlign w:val="center"/>
          </w:tcPr>
          <w:p>
            <w:pPr>
              <w:widowControl/>
              <w:jc w:val="center"/>
              <w:textAlignment w:val="center"/>
              <w:rPr>
                <w:rStyle w:val="37"/>
                <w:rFonts w:hint="eastAsia" w:hAnsi="黑体"/>
                <w:sz w:val="28"/>
                <w:szCs w:val="28"/>
                <w:lang w:eastAsia="zh-CN"/>
              </w:rPr>
            </w:pPr>
            <w:r>
              <w:rPr>
                <w:rStyle w:val="38"/>
                <w:rFonts w:hint="default" w:ascii="黑体" w:hAnsi="黑体" w:eastAsia="黑体"/>
                <w:sz w:val="28"/>
                <w:szCs w:val="28"/>
              </w:rPr>
              <w:t>省级配套</w:t>
            </w:r>
          </w:p>
        </w:tc>
        <w:tc>
          <w:tcPr>
            <w:tcW w:w="2745" w:type="dxa"/>
            <w:vMerge w:val="restart"/>
            <w:tcBorders>
              <w:tl2br w:val="nil"/>
              <w:tr2bl w:val="nil"/>
            </w:tcBorders>
            <w:shd w:val="clear" w:color="auto" w:fill="FFFFFF" w:themeFill="background1"/>
            <w:vAlign w:val="center"/>
          </w:tcPr>
          <w:p>
            <w:pPr>
              <w:widowControl/>
              <w:jc w:val="center"/>
              <w:textAlignment w:val="center"/>
              <w:rPr>
                <w:rStyle w:val="37"/>
                <w:rFonts w:hint="eastAsia" w:hAnsi="黑体"/>
                <w:sz w:val="28"/>
                <w:szCs w:val="28"/>
                <w:lang w:eastAsia="zh-CN"/>
              </w:rPr>
            </w:pPr>
            <w:r>
              <w:rPr>
                <w:rStyle w:val="37"/>
                <w:rFonts w:hint="eastAsia" w:hAnsi="黑体"/>
                <w:sz w:val="28"/>
                <w:szCs w:val="28"/>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7" w:hRule="atLeast"/>
        </w:trPr>
        <w:tc>
          <w:tcPr>
            <w:tcW w:w="2740" w:type="dxa"/>
            <w:vMerge w:val="continue"/>
            <w:tcBorders>
              <w:tl2br w:val="nil"/>
              <w:tr2bl w:val="nil"/>
            </w:tcBorders>
            <w:shd w:val="clear" w:color="auto" w:fill="FFFFFF" w:themeFill="background1"/>
            <w:vAlign w:val="center"/>
          </w:tcPr>
          <w:p>
            <w:pPr>
              <w:jc w:val="center"/>
              <w:rPr>
                <w:rFonts w:ascii="黑体" w:hAnsi="黑体" w:eastAsia="黑体" w:cs="黑体"/>
                <w:color w:val="000000"/>
                <w:szCs w:val="21"/>
              </w:rPr>
            </w:pPr>
          </w:p>
        </w:tc>
        <w:tc>
          <w:tcPr>
            <w:tcW w:w="2681" w:type="dxa"/>
            <w:vMerge w:val="continue"/>
            <w:tcBorders>
              <w:tl2br w:val="nil"/>
              <w:tr2bl w:val="nil"/>
            </w:tcBorders>
            <w:shd w:val="clear" w:color="auto" w:fill="FFFFFF" w:themeFill="background1"/>
            <w:vAlign w:val="center"/>
          </w:tcPr>
          <w:p>
            <w:pPr>
              <w:widowControl/>
              <w:jc w:val="center"/>
              <w:textAlignment w:val="center"/>
              <w:rPr>
                <w:rFonts w:ascii="黑体" w:hAnsi="黑体" w:eastAsia="黑体" w:cs="黑体"/>
                <w:color w:val="000000"/>
                <w:szCs w:val="21"/>
              </w:rPr>
            </w:pPr>
          </w:p>
        </w:tc>
        <w:tc>
          <w:tcPr>
            <w:tcW w:w="4195" w:type="dxa"/>
            <w:tcBorders>
              <w:tl2br w:val="nil"/>
              <w:tr2bl w:val="nil"/>
            </w:tcBorders>
            <w:shd w:val="clear" w:color="auto" w:fill="FFFFFF" w:themeFill="background1"/>
            <w:vAlign w:val="center"/>
          </w:tcPr>
          <w:p>
            <w:pPr>
              <w:widowControl/>
              <w:jc w:val="center"/>
              <w:textAlignment w:val="center"/>
              <w:rPr>
                <w:rFonts w:hint="default" w:ascii="黑体" w:hAnsi="黑体" w:eastAsia="黑体" w:cs="宋体"/>
                <w:color w:val="000000"/>
                <w:sz w:val="28"/>
                <w:szCs w:val="28"/>
                <w:lang w:val="en-US" w:eastAsia="zh-CN"/>
              </w:rPr>
            </w:pPr>
            <w:r>
              <w:rPr>
                <w:rFonts w:hint="eastAsia" w:ascii="黑体" w:hAnsi="黑体" w:eastAsia="黑体" w:cs="宋体"/>
                <w:color w:val="000000"/>
                <w:sz w:val="28"/>
                <w:szCs w:val="28"/>
                <w:lang w:eastAsia="zh-CN"/>
              </w:rPr>
              <w:t>安农计财〔</w:t>
            </w:r>
            <w:r>
              <w:rPr>
                <w:rFonts w:hint="eastAsia" w:ascii="黑体" w:hAnsi="黑体" w:eastAsia="黑体" w:cs="宋体"/>
                <w:color w:val="000000"/>
                <w:sz w:val="28"/>
                <w:szCs w:val="28"/>
                <w:lang w:val="en-US" w:eastAsia="zh-CN"/>
              </w:rPr>
              <w:t>2023</w:t>
            </w:r>
            <w:r>
              <w:rPr>
                <w:rFonts w:hint="eastAsia" w:ascii="黑体" w:hAnsi="黑体" w:eastAsia="黑体" w:cs="宋体"/>
                <w:color w:val="000000"/>
                <w:sz w:val="28"/>
                <w:szCs w:val="28"/>
                <w:lang w:eastAsia="zh-CN"/>
              </w:rPr>
              <w:t>〕</w:t>
            </w:r>
            <w:r>
              <w:rPr>
                <w:rFonts w:hint="eastAsia" w:ascii="黑体" w:hAnsi="黑体" w:eastAsia="黑体" w:cs="宋体"/>
                <w:color w:val="000000"/>
                <w:sz w:val="28"/>
                <w:szCs w:val="28"/>
                <w:lang w:val="en-US" w:eastAsia="zh-CN"/>
              </w:rPr>
              <w:t>9号已下达</w:t>
            </w:r>
          </w:p>
        </w:tc>
        <w:tc>
          <w:tcPr>
            <w:tcW w:w="2158" w:type="dxa"/>
            <w:tcBorders>
              <w:tl2br w:val="nil"/>
              <w:tr2bl w:val="nil"/>
            </w:tcBorders>
            <w:shd w:val="clear" w:color="auto" w:fill="FFFFFF" w:themeFill="background1"/>
            <w:vAlign w:val="center"/>
          </w:tcPr>
          <w:p>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此次下达</w:t>
            </w:r>
          </w:p>
        </w:tc>
        <w:tc>
          <w:tcPr>
            <w:tcW w:w="2745" w:type="dxa"/>
            <w:vMerge w:val="continue"/>
            <w:tcBorders>
              <w:tl2br w:val="nil"/>
              <w:tr2bl w:val="nil"/>
            </w:tcBorders>
            <w:shd w:val="clear" w:color="auto" w:fill="FFFFFF" w:themeFill="background1"/>
            <w:vAlign w:val="center"/>
          </w:tcPr>
          <w:p>
            <w:pPr>
              <w:widowControl/>
              <w:jc w:val="both"/>
              <w:textAlignment w:val="center"/>
              <w:rPr>
                <w:rStyle w:val="37"/>
                <w:rFonts w:hint="default" w:hAnsi="黑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trPr>
        <w:tc>
          <w:tcPr>
            <w:tcW w:w="2740"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汉滨区</w:t>
            </w:r>
          </w:p>
        </w:tc>
        <w:tc>
          <w:tcPr>
            <w:tcW w:w="2681" w:type="dxa"/>
            <w:tcBorders>
              <w:tl2br w:val="nil"/>
              <w:tr2bl w:val="nil"/>
            </w:tcBorders>
            <w:shd w:val="clear" w:color="auto" w:fill="auto"/>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19</w:t>
            </w:r>
          </w:p>
        </w:tc>
        <w:tc>
          <w:tcPr>
            <w:tcW w:w="4195" w:type="dxa"/>
            <w:tcBorders>
              <w:tl2br w:val="nil"/>
              <w:tr2bl w:val="nil"/>
            </w:tcBorders>
            <w:shd w:val="clear" w:color="auto" w:fill="auto"/>
            <w:vAlign w:val="center"/>
          </w:tcPr>
          <w:p>
            <w:pPr>
              <w:widowControl/>
              <w:jc w:val="center"/>
              <w:textAlignment w:val="center"/>
              <w:rPr>
                <w:rFonts w:ascii="仿宋_GB2312" w:hAnsi="宋体" w:eastAsia="仿宋_GB2312" w:cs="宋体"/>
                <w:color w:val="000000"/>
                <w:sz w:val="28"/>
                <w:szCs w:val="28"/>
              </w:rPr>
            </w:pPr>
          </w:p>
        </w:tc>
        <w:tc>
          <w:tcPr>
            <w:tcW w:w="2158"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p>
        </w:tc>
        <w:tc>
          <w:tcPr>
            <w:tcW w:w="2745" w:type="dxa"/>
            <w:tcBorders>
              <w:tl2br w:val="nil"/>
              <w:tr2bl w:val="nil"/>
            </w:tcBorders>
            <w:shd w:val="clear" w:color="auto" w:fill="auto"/>
            <w:noWrap/>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trPr>
        <w:tc>
          <w:tcPr>
            <w:tcW w:w="2740"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紫阳县</w:t>
            </w:r>
          </w:p>
        </w:tc>
        <w:tc>
          <w:tcPr>
            <w:tcW w:w="2681" w:type="dxa"/>
            <w:tcBorders>
              <w:tl2br w:val="nil"/>
              <w:tr2bl w:val="nil"/>
            </w:tcBorders>
            <w:shd w:val="clear" w:color="auto" w:fill="auto"/>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46</w:t>
            </w:r>
          </w:p>
        </w:tc>
        <w:tc>
          <w:tcPr>
            <w:tcW w:w="4195" w:type="dxa"/>
            <w:tcBorders>
              <w:tl2br w:val="nil"/>
              <w:tr2bl w:val="nil"/>
            </w:tcBorders>
            <w:shd w:val="clear" w:color="auto" w:fill="auto"/>
            <w:vAlign w:val="center"/>
          </w:tcPr>
          <w:p>
            <w:pPr>
              <w:widowControl/>
              <w:jc w:val="center"/>
              <w:textAlignment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9</w:t>
            </w:r>
          </w:p>
        </w:tc>
        <w:tc>
          <w:tcPr>
            <w:tcW w:w="2158" w:type="dxa"/>
            <w:tcBorders>
              <w:tl2br w:val="nil"/>
              <w:tr2bl w:val="nil"/>
            </w:tcBorders>
            <w:shd w:val="clear" w:color="auto" w:fill="auto"/>
            <w:noWrap/>
            <w:vAlign w:val="center"/>
          </w:tcPr>
          <w:p>
            <w:pPr>
              <w:widowControl/>
              <w:jc w:val="center"/>
              <w:textAlignment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w:t>
            </w:r>
          </w:p>
        </w:tc>
        <w:tc>
          <w:tcPr>
            <w:tcW w:w="2745" w:type="dxa"/>
            <w:tcBorders>
              <w:tl2br w:val="nil"/>
              <w:tr2bl w:val="nil"/>
            </w:tcBorders>
            <w:shd w:val="clear" w:color="auto" w:fill="auto"/>
            <w:noWrap/>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trPr>
        <w:tc>
          <w:tcPr>
            <w:tcW w:w="2740"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白河县</w:t>
            </w:r>
          </w:p>
        </w:tc>
        <w:tc>
          <w:tcPr>
            <w:tcW w:w="2681" w:type="dxa"/>
            <w:tcBorders>
              <w:tl2br w:val="nil"/>
              <w:tr2bl w:val="nil"/>
            </w:tcBorders>
            <w:shd w:val="clear" w:color="auto" w:fill="auto"/>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20</w:t>
            </w:r>
          </w:p>
        </w:tc>
        <w:tc>
          <w:tcPr>
            <w:tcW w:w="4195" w:type="dxa"/>
            <w:tcBorders>
              <w:tl2br w:val="nil"/>
              <w:tr2bl w:val="nil"/>
            </w:tcBorders>
            <w:shd w:val="clear" w:color="auto" w:fill="auto"/>
            <w:vAlign w:val="center"/>
          </w:tcPr>
          <w:p>
            <w:pPr>
              <w:widowControl/>
              <w:jc w:val="center"/>
              <w:textAlignment w:val="center"/>
              <w:rPr>
                <w:rFonts w:ascii="仿宋_GB2312" w:hAnsi="宋体" w:eastAsia="仿宋_GB2312" w:cs="宋体"/>
                <w:color w:val="000000"/>
                <w:sz w:val="28"/>
                <w:szCs w:val="28"/>
              </w:rPr>
            </w:pPr>
          </w:p>
        </w:tc>
        <w:tc>
          <w:tcPr>
            <w:tcW w:w="2158"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p>
        </w:tc>
        <w:tc>
          <w:tcPr>
            <w:tcW w:w="2745" w:type="dxa"/>
            <w:tcBorders>
              <w:tl2br w:val="nil"/>
              <w:tr2bl w:val="nil"/>
            </w:tcBorders>
            <w:shd w:val="clear" w:color="auto" w:fill="auto"/>
            <w:noWrap/>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trPr>
        <w:tc>
          <w:tcPr>
            <w:tcW w:w="2740"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恒口示范区</w:t>
            </w:r>
          </w:p>
        </w:tc>
        <w:tc>
          <w:tcPr>
            <w:tcW w:w="2681" w:type="dxa"/>
            <w:tcBorders>
              <w:tl2br w:val="nil"/>
              <w:tr2bl w:val="nil"/>
            </w:tcBorders>
            <w:shd w:val="clear" w:color="auto" w:fill="auto"/>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w:t>
            </w:r>
          </w:p>
        </w:tc>
        <w:tc>
          <w:tcPr>
            <w:tcW w:w="4195" w:type="dxa"/>
            <w:tcBorders>
              <w:tl2br w:val="nil"/>
              <w:tr2bl w:val="nil"/>
            </w:tcBorders>
            <w:shd w:val="clear" w:color="auto" w:fill="auto"/>
            <w:vAlign w:val="center"/>
          </w:tcPr>
          <w:p>
            <w:pPr>
              <w:widowControl/>
              <w:jc w:val="center"/>
              <w:textAlignment w:val="center"/>
              <w:rPr>
                <w:rFonts w:ascii="仿宋_GB2312" w:hAnsi="宋体" w:eastAsia="仿宋_GB2312" w:cs="宋体"/>
                <w:color w:val="000000"/>
                <w:sz w:val="28"/>
                <w:szCs w:val="28"/>
              </w:rPr>
            </w:pPr>
          </w:p>
        </w:tc>
        <w:tc>
          <w:tcPr>
            <w:tcW w:w="2158"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p>
        </w:tc>
        <w:tc>
          <w:tcPr>
            <w:tcW w:w="2745" w:type="dxa"/>
            <w:tcBorders>
              <w:tl2br w:val="nil"/>
              <w:tr2bl w:val="nil"/>
            </w:tcBorders>
            <w:shd w:val="clear" w:color="auto" w:fill="auto"/>
            <w:noWrap/>
            <w:vAlign w:val="center"/>
          </w:tcPr>
          <w:p>
            <w:pPr>
              <w:widowControl/>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7" w:hRule="atLeast"/>
        </w:trPr>
        <w:tc>
          <w:tcPr>
            <w:tcW w:w="2740"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Cs w:val="21"/>
              </w:rPr>
            </w:pPr>
            <w:r>
              <w:rPr>
                <w:rFonts w:hint="default" w:ascii="黑体" w:hAnsi="黑体" w:eastAsia="黑体" w:cs="黑体"/>
                <w:color w:val="000000"/>
                <w:sz w:val="28"/>
                <w:szCs w:val="28"/>
                <w:lang w:eastAsia="zh-CN"/>
              </w:rPr>
              <w:t>合</w:t>
            </w:r>
            <w:r>
              <w:rPr>
                <w:rFonts w:hint="eastAsia" w:ascii="黑体" w:hAnsi="黑体" w:eastAsia="黑体" w:cs="黑体"/>
                <w:color w:val="000000"/>
                <w:sz w:val="28"/>
                <w:szCs w:val="28"/>
                <w:lang w:val="en-US" w:eastAsia="zh-CN"/>
              </w:rPr>
              <w:t xml:space="preserve">  </w:t>
            </w:r>
            <w:r>
              <w:rPr>
                <w:rFonts w:hint="default" w:ascii="黑体" w:hAnsi="黑体" w:eastAsia="黑体" w:cs="黑体"/>
                <w:color w:val="000000"/>
                <w:sz w:val="28"/>
                <w:szCs w:val="28"/>
                <w:lang w:eastAsia="zh-CN"/>
              </w:rPr>
              <w:t>计</w:t>
            </w:r>
          </w:p>
        </w:tc>
        <w:tc>
          <w:tcPr>
            <w:tcW w:w="2681"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95</w:t>
            </w:r>
          </w:p>
        </w:tc>
        <w:tc>
          <w:tcPr>
            <w:tcW w:w="4195" w:type="dxa"/>
            <w:tcBorders>
              <w:tl2br w:val="nil"/>
              <w:tr2bl w:val="nil"/>
            </w:tcBorders>
            <w:shd w:val="clear" w:color="auto" w:fill="auto"/>
            <w:noWrap/>
            <w:vAlign w:val="center"/>
          </w:tcPr>
          <w:p>
            <w:pPr>
              <w:widowControl/>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9</w:t>
            </w:r>
          </w:p>
        </w:tc>
        <w:tc>
          <w:tcPr>
            <w:tcW w:w="2158"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2745" w:type="dxa"/>
            <w:tcBorders>
              <w:tl2br w:val="nil"/>
              <w:tr2bl w:val="nil"/>
            </w:tcBorders>
            <w:shd w:val="clear" w:color="auto" w:fill="auto"/>
            <w:noWrap/>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106</w:t>
            </w:r>
          </w:p>
        </w:tc>
      </w:tr>
    </w:tbl>
    <w:p>
      <w:pPr>
        <w:pStyle w:val="2"/>
        <w:ind w:firstLine="420"/>
        <w:sectPr>
          <w:footerReference r:id="rId4" w:type="even"/>
          <w:pgSz w:w="16838" w:h="11906" w:orient="landscape"/>
          <w:pgMar w:top="1871" w:right="1531" w:bottom="1474" w:left="1531" w:header="851" w:footer="1134" w:gutter="0"/>
          <w:pgBorders>
            <w:top w:val="none" w:sz="0" w:space="0"/>
            <w:left w:val="none" w:sz="0" w:space="0"/>
            <w:bottom w:val="none" w:sz="0" w:space="0"/>
            <w:right w:val="none" w:sz="0" w:space="0"/>
          </w:pgBorders>
          <w:pgNumType w:fmt="numberInDash"/>
          <w:cols w:space="425" w:num="1"/>
          <w:docGrid w:linePitch="312" w:charSpace="0"/>
        </w:sectPr>
      </w:pPr>
    </w:p>
    <w:p>
      <w:pPr>
        <w:pStyle w:val="2"/>
        <w:spacing w:line="500" w:lineRule="exact"/>
        <w:ind w:firstLine="0" w:firstLineChars="0"/>
        <w:rPr>
          <w:rFonts w:ascii="黑体" w:hAnsi="黑体" w:eastAsia="黑体" w:cs="黑体"/>
          <w:sz w:val="32"/>
          <w:szCs w:val="32"/>
        </w:rPr>
      </w:pPr>
      <w:r>
        <w:rPr>
          <w:rFonts w:hint="eastAsia" w:ascii="黑体" w:hAnsi="黑体" w:eastAsia="黑体" w:cs="黑体"/>
          <w:sz w:val="32"/>
          <w:szCs w:val="32"/>
        </w:rPr>
        <w:t>附表2</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水产品加工和仓储保鲜设备补助类型及标准</w:t>
      </w:r>
    </w:p>
    <w:p>
      <w:pPr>
        <w:pStyle w:val="2"/>
        <w:keepNext w:val="0"/>
        <w:keepLines w:val="0"/>
        <w:pageBreakBefore w:val="0"/>
        <w:kinsoku/>
        <w:wordWrap/>
        <w:overflowPunct/>
        <w:topLinePunct w:val="0"/>
        <w:autoSpaceDE/>
        <w:autoSpaceDN/>
        <w:bidi w:val="0"/>
        <w:adjustRightInd/>
        <w:snapToGrid/>
        <w:spacing w:line="560" w:lineRule="exact"/>
        <w:ind w:firstLine="420"/>
        <w:textAlignment w:val="auto"/>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297"/>
        <w:gridCol w:w="3329"/>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24" w:type="pct"/>
            <w:gridSpan w:val="2"/>
            <w:vAlign w:val="center"/>
          </w:tcPr>
          <w:p>
            <w:pPr>
              <w:jc w:val="center"/>
              <w:rPr>
                <w:rFonts w:ascii="黑体" w:hAnsi="黑体" w:eastAsia="黑体"/>
                <w:kern w:val="0"/>
                <w:sz w:val="18"/>
                <w:szCs w:val="18"/>
              </w:rPr>
            </w:pPr>
            <w:r>
              <w:rPr>
                <w:rFonts w:hint="eastAsia" w:ascii="黑体" w:hAnsi="黑体" w:eastAsia="黑体" w:cs="Times New Roman"/>
                <w:kern w:val="0"/>
                <w:sz w:val="18"/>
                <w:szCs w:val="18"/>
              </w:rPr>
              <w:t>设备类型</w:t>
            </w:r>
          </w:p>
        </w:tc>
        <w:tc>
          <w:tcPr>
            <w:tcW w:w="1837" w:type="pct"/>
            <w:vAlign w:val="center"/>
          </w:tcPr>
          <w:p>
            <w:pPr>
              <w:jc w:val="center"/>
              <w:rPr>
                <w:rFonts w:ascii="黑体" w:hAnsi="黑体" w:eastAsia="黑体"/>
                <w:kern w:val="0"/>
                <w:sz w:val="18"/>
                <w:szCs w:val="18"/>
              </w:rPr>
            </w:pPr>
            <w:r>
              <w:rPr>
                <w:rFonts w:hint="eastAsia" w:ascii="黑体" w:hAnsi="黑体" w:eastAsia="黑体" w:cs="Times New Roman"/>
                <w:kern w:val="0"/>
                <w:sz w:val="18"/>
                <w:szCs w:val="18"/>
              </w:rPr>
              <w:t>设备要求</w:t>
            </w:r>
          </w:p>
        </w:tc>
        <w:tc>
          <w:tcPr>
            <w:tcW w:w="1839" w:type="pct"/>
            <w:vAlign w:val="center"/>
          </w:tcPr>
          <w:p>
            <w:pPr>
              <w:jc w:val="center"/>
              <w:rPr>
                <w:rFonts w:ascii="黑体" w:hAnsi="黑体" w:eastAsia="黑体"/>
                <w:kern w:val="0"/>
                <w:sz w:val="18"/>
                <w:szCs w:val="18"/>
              </w:rPr>
            </w:pPr>
            <w:r>
              <w:rPr>
                <w:rFonts w:hint="eastAsia" w:ascii="黑体" w:hAnsi="黑体" w:eastAsia="黑体" w:cs="Times New Roman"/>
                <w:kern w:val="0"/>
                <w:sz w:val="18"/>
                <w:szCs w:val="18"/>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8" w:type="pct"/>
            <w:vMerge w:val="restart"/>
            <w:vAlign w:val="center"/>
          </w:tcPr>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一、原料处理设备</w:t>
            </w: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1.全自动清洗设备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低能耗、高效率，每台清洗效率（处理能力）≥1000千克/小时，洁净度≥90%</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每台设备补助不超过实际购买价格的30%（以购置发票为准，下同），最高不超过60万元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2.全自动去鳞去内脏设备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自动化程度高、连续式去鳞，鳞片去除率≥95%，每台去鳞效率（处理能力）≥1000千克/小时；内脏去除率≥90%，每台去内脏效率（处理能力）≥500千克/小时</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3.自动去壳剥虾设备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color w:val="000000"/>
                <w:kern w:val="0"/>
                <w:sz w:val="18"/>
                <w:szCs w:val="18"/>
              </w:rPr>
              <w:t>每台</w:t>
            </w:r>
            <w:r>
              <w:rPr>
                <w:rFonts w:hint="eastAsia" w:ascii="仿宋_GB2312" w:eastAsia="仿宋_GB2312" w:cs="Times New Roman" w:hAnsiTheme="minorEastAsia"/>
                <w:bCs/>
                <w:color w:val="000000"/>
                <w:kern w:val="0"/>
                <w:sz w:val="18"/>
                <w:szCs w:val="18"/>
              </w:rPr>
              <w:t>自动剥虾≥500千克/小时，去壳率≥95%，虾仁损耗率≤5%</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8" w:type="pct"/>
            <w:vMerge w:val="restart"/>
            <w:vAlign w:val="center"/>
          </w:tcPr>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二、分级分割设备</w:t>
            </w: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1.精准称重分选设备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全自动精准称重，每小时分选称重分选级别≥3级，分选精度±0.1克(干)/±1克（湿）</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2.全自动分割、切片设备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color w:val="000000"/>
                <w:kern w:val="0"/>
                <w:sz w:val="18"/>
                <w:szCs w:val="18"/>
              </w:rPr>
              <w:t>每台</w:t>
            </w:r>
            <w:r>
              <w:rPr>
                <w:rFonts w:hint="eastAsia" w:ascii="仿宋_GB2312" w:eastAsia="仿宋_GB2312" w:cs="Times New Roman" w:hAnsiTheme="minorEastAsia"/>
                <w:bCs/>
                <w:color w:val="000000"/>
                <w:kern w:val="0"/>
                <w:sz w:val="18"/>
                <w:szCs w:val="18"/>
              </w:rPr>
              <w:t>处理能力≥300千克/小时，精准率≥95%。包括全自动分割机、开背机、切片机等</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3.鱼糜加工设备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破碎/打浆机（处理量≥20吨/小时），采肉机（每台处理能力≥500千克/小时，鱼糜制品成型机（重量偏差≤5%，每台产量≥50千克/小时）</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kern w:val="0"/>
                <w:sz w:val="18"/>
                <w:szCs w:val="18"/>
              </w:rPr>
              <w:t>4.全自动滚揉机</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容积≥500L</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8" w:type="pct"/>
            <w:vMerge w:val="restart"/>
            <w:vAlign w:val="center"/>
          </w:tcPr>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三、</w:t>
            </w:r>
            <w:r>
              <w:rPr>
                <w:rFonts w:hint="eastAsia" w:ascii="仿宋_GB2312" w:hAnsi="黑体" w:eastAsia="仿宋_GB2312" w:cs="Times New Roman"/>
                <w:color w:val="000000"/>
                <w:kern w:val="0"/>
                <w:sz w:val="18"/>
                <w:szCs w:val="18"/>
              </w:rPr>
              <w:t>包装冷冻设备</w:t>
            </w: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1.全自动包装设备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自动完成产品包装、贴标，包装合格率≥98%</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2.全自动配重设备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color w:val="000000"/>
                <w:kern w:val="0"/>
                <w:sz w:val="18"/>
                <w:szCs w:val="18"/>
              </w:rPr>
              <w:t>用于产品配重包装，可按预设的数量和重量进行精确配重，并自动输送至包装工位，高效解决人工多次配重效率低问题。</w:t>
            </w:r>
            <w:r>
              <w:rPr>
                <w:rFonts w:hint="eastAsia" w:ascii="仿宋_GB2312" w:eastAsia="仿宋_GB2312" w:cs="Times New Roman" w:hAnsiTheme="minorEastAsia"/>
                <w:bCs/>
                <w:color w:val="000000"/>
                <w:kern w:val="0"/>
                <w:sz w:val="18"/>
                <w:szCs w:val="18"/>
              </w:rPr>
              <w:t>生产效率≥45包/分钟</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3.快速冻结设备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液氮速冻设备、液体冷冻设备须达到快速冻结肌肉细胞不破损、产品锁鲜需求，其中：隧道式液氮速冻设备速冻能力≥500千克/小时，氮耗率小于1.5；双螺旋速冻设备（单冻）速冻能力≥1000千克/小时，冷量≥140KW</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color w:val="000000"/>
                <w:kern w:val="0"/>
                <w:sz w:val="18"/>
                <w:szCs w:val="18"/>
              </w:rPr>
              <w:t>4.小型冷库配套设备</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温度可保持在≤-18℃，公称容积≥100m</w:t>
            </w:r>
            <w:r>
              <w:rPr>
                <w:rFonts w:hint="eastAsia" w:ascii="仿宋_GB2312" w:eastAsia="仿宋_GB2312" w:cs="Times New Roman" w:hAnsiTheme="minorEastAsia"/>
                <w:bCs/>
                <w:color w:val="000000"/>
                <w:kern w:val="0"/>
                <w:sz w:val="18"/>
                <w:szCs w:val="18"/>
                <w:vertAlign w:val="superscript"/>
              </w:rPr>
              <w:t>3</w:t>
            </w:r>
            <w:r>
              <w:rPr>
                <w:rFonts w:hint="eastAsia" w:ascii="仿宋_GB2312" w:eastAsia="仿宋_GB2312" w:cs="Times New Roman" w:hAnsiTheme="minorEastAsia"/>
                <w:bCs/>
                <w:color w:val="000000"/>
                <w:kern w:val="0"/>
                <w:sz w:val="18"/>
                <w:szCs w:val="18"/>
              </w:rPr>
              <w:t>，制冷系统压缩机功率P≥3 kW</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kern w:val="0"/>
                <w:sz w:val="18"/>
                <w:szCs w:val="18"/>
              </w:rPr>
            </w:pPr>
            <w:r>
              <w:rPr>
                <w:rFonts w:hint="eastAsia" w:ascii="仿宋_GB2312" w:eastAsia="仿宋_GB2312" w:cs="Times New Roman" w:hAnsiTheme="minorEastAsia"/>
                <w:color w:val="000000"/>
                <w:kern w:val="0"/>
                <w:sz w:val="18"/>
                <w:szCs w:val="18"/>
              </w:rPr>
              <w:t>5.制冰机</w:t>
            </w:r>
          </w:p>
        </w:tc>
        <w:tc>
          <w:tcPr>
            <w:tcW w:w="1837"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制冰能力≥1吨/日</w:t>
            </w:r>
          </w:p>
        </w:tc>
        <w:tc>
          <w:tcPr>
            <w:tcW w:w="1839" w:type="pct"/>
            <w:vAlign w:val="center"/>
          </w:tcPr>
          <w:p>
            <w:pPr>
              <w:jc w:val="left"/>
              <w:rPr>
                <w:rFonts w:ascii="仿宋_GB2312" w:eastAsia="仿宋_GB2312" w:hAnsiTheme="minorEastAsia"/>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08" w:type="pct"/>
            <w:vMerge w:val="restart"/>
            <w:vAlign w:val="center"/>
          </w:tcPr>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四、低温暂养设备</w:t>
            </w: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Times New Roman" w:hAnsiTheme="minorEastAsia"/>
                <w:color w:val="000000"/>
                <w:kern w:val="0"/>
                <w:sz w:val="18"/>
                <w:szCs w:val="18"/>
              </w:rPr>
              <w:t>1.低温暂养设</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通过制冷系统控制水体温度保持在5℃－15℃，暂养用水可循环使用，暂养池容量≥5吨</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Times New Roman" w:hAnsiTheme="minorEastAsia"/>
                <w:color w:val="000000"/>
                <w:kern w:val="0"/>
                <w:sz w:val="18"/>
                <w:szCs w:val="18"/>
              </w:rPr>
              <w:t>2.生物过滤设备</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用于吸收转化氨氮等有毒有害物质，水质达到暂养生物所需水质要求且循环使用。回用水水质氨氮控制在0.2mg/L以下、溶解氧在6mg/L以上</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08" w:type="pct"/>
            <w:vMerge w:val="continue"/>
            <w:vAlign w:val="center"/>
          </w:tcPr>
          <w:p>
            <w:pPr>
              <w:jc w:val="center"/>
              <w:rPr>
                <w:rFonts w:ascii="仿宋_GB2312" w:hAnsi="黑体" w:eastAsia="仿宋_GB2312"/>
                <w:kern w:val="0"/>
                <w:sz w:val="18"/>
                <w:szCs w:val="18"/>
              </w:rPr>
            </w:pP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Times New Roman" w:hAnsiTheme="minorEastAsia"/>
                <w:kern w:val="0"/>
                <w:sz w:val="18"/>
                <w:szCs w:val="18"/>
              </w:rPr>
              <w:t>3.固液分离机</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kern w:val="0"/>
                <w:sz w:val="18"/>
                <w:szCs w:val="18"/>
              </w:rPr>
              <w:t>120目以上，每小时流量600吨以下</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kern w:val="0"/>
                <w:sz w:val="18"/>
                <w:szCs w:val="18"/>
              </w:rPr>
              <w:t>每台设备补助不超过实际购买价格的30%，最高不超过5万元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08" w:type="pct"/>
            <w:vMerge w:val="restart"/>
            <w:vAlign w:val="center"/>
          </w:tcPr>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五、其</w:t>
            </w:r>
          </w:p>
          <w:p>
            <w:pPr>
              <w:jc w:val="center"/>
              <w:rPr>
                <w:rFonts w:ascii="仿宋_GB2312" w:hAnsi="黑体" w:eastAsia="仿宋_GB2312"/>
                <w:kern w:val="0"/>
                <w:sz w:val="18"/>
                <w:szCs w:val="18"/>
              </w:rPr>
            </w:pPr>
            <w:r>
              <w:rPr>
                <w:rFonts w:hint="eastAsia" w:ascii="仿宋_GB2312" w:hAnsi="黑体" w:eastAsia="仿宋_GB2312" w:cs="Times New Roman"/>
                <w:kern w:val="0"/>
                <w:sz w:val="18"/>
                <w:szCs w:val="18"/>
              </w:rPr>
              <w:t>他类</w:t>
            </w: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楷体_GB2312" w:hAnsiTheme="minorEastAsia"/>
                <w:bCs/>
                <w:color w:val="000000"/>
                <w:kern w:val="0"/>
                <w:sz w:val="18"/>
                <w:szCs w:val="18"/>
              </w:rPr>
              <w:t>1.副产物利用类设备</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用于加工副产物的酶解、发酵、浓缩等综合利用加工，可实现温度、转速等参数的控制和监测，提高产品品质。处理能力≥1000L/批次</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08" w:type="pct"/>
            <w:vMerge w:val="continue"/>
            <w:vAlign w:val="center"/>
          </w:tcPr>
          <w:p>
            <w:pPr>
              <w:jc w:val="center"/>
              <w:rPr>
                <w:rFonts w:ascii="仿宋_GB2312" w:eastAsia="仿宋_GB2312" w:hAnsiTheme="minorEastAsia"/>
                <w:kern w:val="0"/>
                <w:sz w:val="18"/>
                <w:szCs w:val="18"/>
              </w:rPr>
            </w:pP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楷体_GB2312" w:hAnsiTheme="minorEastAsia"/>
                <w:color w:val="000000"/>
                <w:kern w:val="0"/>
                <w:sz w:val="18"/>
                <w:szCs w:val="18"/>
              </w:rPr>
              <w:t>2.废水处理类设备</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按照水产品加工废水排放有关标准进行废水处理，日处理能力≥5吨</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08" w:type="pct"/>
            <w:vMerge w:val="continue"/>
            <w:vAlign w:val="center"/>
          </w:tcPr>
          <w:p>
            <w:pPr>
              <w:jc w:val="center"/>
              <w:rPr>
                <w:rFonts w:ascii="仿宋_GB2312" w:eastAsia="仿宋_GB2312" w:hAnsiTheme="minorEastAsia"/>
                <w:kern w:val="0"/>
                <w:sz w:val="18"/>
                <w:szCs w:val="18"/>
              </w:rPr>
            </w:pPr>
          </w:p>
        </w:tc>
        <w:tc>
          <w:tcPr>
            <w:tcW w:w="716" w:type="pct"/>
            <w:vAlign w:val="center"/>
          </w:tcPr>
          <w:p>
            <w:pPr>
              <w:jc w:val="center"/>
              <w:rPr>
                <w:rFonts w:ascii="仿宋_GB2312" w:eastAsia="仿宋_GB2312" w:hAnsiTheme="minorEastAsia"/>
                <w:color w:val="000000"/>
                <w:kern w:val="0"/>
                <w:sz w:val="18"/>
                <w:szCs w:val="18"/>
              </w:rPr>
            </w:pPr>
            <w:r>
              <w:rPr>
                <w:rFonts w:hint="eastAsia" w:ascii="仿宋_GB2312" w:eastAsia="仿宋_GB2312" w:cs="楷体_GB2312" w:hAnsiTheme="minorEastAsia"/>
                <w:bCs/>
                <w:color w:val="000000"/>
                <w:kern w:val="0"/>
                <w:sz w:val="18"/>
                <w:szCs w:val="18"/>
              </w:rPr>
              <w:t>3.信息化类设备</w:t>
            </w:r>
          </w:p>
        </w:tc>
        <w:tc>
          <w:tcPr>
            <w:tcW w:w="1837"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建设适用于水产加工企业的信息化管理系统（MES系统），打造冷链仓储物流、生产加工、精细化成本控制、销售渠道管理与全程质量追溯等体系</w:t>
            </w:r>
          </w:p>
        </w:tc>
        <w:tc>
          <w:tcPr>
            <w:tcW w:w="1839" w:type="pct"/>
            <w:vAlign w:val="center"/>
          </w:tcPr>
          <w:p>
            <w:pPr>
              <w:jc w:val="left"/>
              <w:rPr>
                <w:rFonts w:ascii="仿宋_GB2312" w:eastAsia="仿宋_GB2312" w:hAnsiTheme="minorEastAsia"/>
                <w:bCs/>
                <w:color w:val="000000"/>
                <w:kern w:val="0"/>
                <w:sz w:val="18"/>
                <w:szCs w:val="18"/>
              </w:rPr>
            </w:pPr>
            <w:r>
              <w:rPr>
                <w:rFonts w:hint="eastAsia" w:ascii="仿宋_GB2312" w:eastAsia="仿宋_GB2312" w:cs="Times New Roman" w:hAnsiTheme="minorEastAsia"/>
                <w:bCs/>
                <w:color w:val="000000"/>
                <w:kern w:val="0"/>
                <w:sz w:val="18"/>
                <w:szCs w:val="18"/>
              </w:rPr>
              <w:t>每台设备补助不超过实际购买价格的30%，最高不超过20万元</w:t>
            </w:r>
          </w:p>
        </w:tc>
      </w:tr>
    </w:tbl>
    <w:p>
      <w:pPr>
        <w:pStyle w:val="2"/>
        <w:ind w:firstLine="420"/>
        <w:sectPr>
          <w:footerReference r:id="rId5" w:type="even"/>
          <w:pgSz w:w="11906" w:h="16838"/>
          <w:pgMar w:top="1871" w:right="1531" w:bottom="1474" w:left="1531" w:header="851" w:footer="1134" w:gutter="0"/>
          <w:pgBorders>
            <w:top w:val="none" w:sz="0" w:space="0"/>
            <w:left w:val="none" w:sz="0" w:space="0"/>
            <w:bottom w:val="none" w:sz="0" w:space="0"/>
            <w:right w:val="none" w:sz="0" w:space="0"/>
          </w:pgBorders>
          <w:pgNumType w:fmt="numberInDash"/>
          <w:cols w:space="425" w:num="1"/>
          <w:docGrid w:linePitch="312" w:charSpace="0"/>
        </w:sectPr>
      </w:pPr>
    </w:p>
    <w:p>
      <w:pPr>
        <w:widowControl/>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w:t>
      </w:r>
      <w:r>
        <w:rPr>
          <w:rFonts w:hint="eastAsia" w:ascii="黑体" w:hAnsi="黑体" w:eastAsia="黑体"/>
          <w:color w:val="000000" w:themeColor="text1"/>
          <w:kern w:val="0"/>
          <w:sz w:val="32"/>
          <w:szCs w:val="32"/>
          <w14:textFill>
            <w14:solidFill>
              <w14:schemeClr w14:val="tx1"/>
            </w14:solidFill>
          </w14:textFill>
        </w:rPr>
        <w:t>表3</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2023年渔业发展补助资金分配意见表</w:t>
      </w:r>
    </w:p>
    <w:p>
      <w:pPr>
        <w:pStyle w:val="4"/>
        <w:keepNext w:val="0"/>
        <w:keepLines w:val="0"/>
        <w:pageBreakBefore w:val="0"/>
        <w:kinsoku/>
        <w:wordWrap/>
        <w:overflowPunct/>
        <w:topLinePunct w:val="0"/>
        <w:autoSpaceDE/>
        <w:autoSpaceDN/>
        <w:bidi w:val="0"/>
        <w:adjustRightInd/>
        <w:snapToGrid/>
        <w:spacing w:line="560" w:lineRule="exact"/>
        <w:ind w:firstLine="0" w:firstLineChars="0"/>
        <w:textAlignment w:val="auto"/>
      </w:pPr>
    </w:p>
    <w:tbl>
      <w:tblPr>
        <w:tblStyle w:val="14"/>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4963"/>
        <w:gridCol w:w="1959"/>
        <w:gridCol w:w="201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72" w:type="pct"/>
            <w:vAlign w:val="center"/>
          </w:tcPr>
          <w:p>
            <w:pPr>
              <w:widowControl/>
              <w:spacing w:line="0" w:lineRule="atLeast"/>
              <w:jc w:val="center"/>
              <w:textAlignment w:val="center"/>
              <w:rPr>
                <w:rFonts w:hint="eastAsia" w:ascii="黑体" w:hAnsi="黑体" w:eastAsia="黑体" w:cs="宋体"/>
                <w:bCs/>
                <w:color w:val="000000"/>
                <w:kern w:val="0"/>
                <w:sz w:val="28"/>
                <w:szCs w:val="28"/>
                <w:lang w:eastAsia="zh-CN"/>
              </w:rPr>
            </w:pPr>
            <w:r>
              <w:rPr>
                <w:rFonts w:hint="eastAsia" w:ascii="黑体" w:hAnsi="黑体" w:eastAsia="黑体" w:cs="宋体"/>
                <w:bCs/>
                <w:color w:val="000000"/>
                <w:kern w:val="0"/>
                <w:sz w:val="28"/>
                <w:szCs w:val="28"/>
                <w:lang w:eastAsia="zh-CN"/>
              </w:rPr>
              <w:t>县（市、区）</w:t>
            </w:r>
          </w:p>
        </w:tc>
        <w:tc>
          <w:tcPr>
            <w:tcW w:w="1822" w:type="pct"/>
            <w:vAlign w:val="center"/>
          </w:tcPr>
          <w:p>
            <w:pPr>
              <w:widowControl/>
              <w:spacing w:line="0" w:lineRule="atLeast"/>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建设任务</w:t>
            </w:r>
          </w:p>
        </w:tc>
        <w:tc>
          <w:tcPr>
            <w:tcW w:w="719" w:type="pct"/>
            <w:vAlign w:val="center"/>
          </w:tcPr>
          <w:p>
            <w:pPr>
              <w:widowControl/>
              <w:spacing w:line="0" w:lineRule="atLeast"/>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绿色循环</w:t>
            </w:r>
          </w:p>
        </w:tc>
        <w:tc>
          <w:tcPr>
            <w:tcW w:w="739" w:type="pct"/>
            <w:vAlign w:val="center"/>
          </w:tcPr>
          <w:p>
            <w:pPr>
              <w:widowControl/>
              <w:spacing w:line="0" w:lineRule="atLeast"/>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装备设施</w:t>
            </w:r>
          </w:p>
        </w:tc>
        <w:tc>
          <w:tcPr>
            <w:tcW w:w="946" w:type="pct"/>
            <w:vAlign w:val="center"/>
          </w:tcPr>
          <w:p>
            <w:pPr>
              <w:widowControl/>
              <w:spacing w:line="0" w:lineRule="atLeast"/>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lang w:eastAsia="zh-CN"/>
              </w:rPr>
              <w:t>小计</w:t>
            </w:r>
            <w:r>
              <w:rPr>
                <w:rFonts w:hint="eastAsia" w:ascii="黑体" w:hAnsi="黑体" w:eastAsia="黑体" w:cs="宋体"/>
                <w:bCs/>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772" w:type="pct"/>
            <w:tcBorders>
              <w:left w:val="single" w:color="auto" w:sz="4" w:space="0"/>
            </w:tcBorders>
            <w:vAlign w:val="center"/>
          </w:tcPr>
          <w:p>
            <w:pPr>
              <w:widowControl/>
              <w:jc w:val="center"/>
              <w:textAlignment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汉滨区</w:t>
            </w:r>
          </w:p>
        </w:tc>
        <w:tc>
          <w:tcPr>
            <w:tcW w:w="1822" w:type="pct"/>
            <w:vAlign w:val="center"/>
          </w:tcPr>
          <w:p>
            <w:pPr>
              <w:widowControl/>
              <w:spacing w:line="0" w:lineRule="atLeast"/>
              <w:jc w:val="left"/>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购置水产品初（精）加工和仓储保鲜设施设备10台。</w:t>
            </w:r>
          </w:p>
        </w:tc>
        <w:tc>
          <w:tcPr>
            <w:tcW w:w="719" w:type="pct"/>
            <w:vAlign w:val="center"/>
          </w:tcPr>
          <w:p>
            <w:pPr>
              <w:widowControl/>
              <w:jc w:val="center"/>
              <w:textAlignment w:val="center"/>
              <w:rPr>
                <w:rFonts w:ascii="仿宋_GB2312" w:eastAsia="仿宋_GB2312"/>
                <w:sz w:val="28"/>
                <w:szCs w:val="28"/>
              </w:rPr>
            </w:pPr>
          </w:p>
        </w:tc>
        <w:tc>
          <w:tcPr>
            <w:tcW w:w="739" w:type="pct"/>
            <w:vAlign w:val="center"/>
          </w:tcPr>
          <w:p>
            <w:pPr>
              <w:widowControl/>
              <w:jc w:val="center"/>
              <w:textAlignment w:val="center"/>
              <w:rPr>
                <w:rFonts w:ascii="仿宋_GB2312" w:eastAsia="仿宋_GB2312"/>
                <w:sz w:val="28"/>
                <w:szCs w:val="28"/>
              </w:rPr>
            </w:pPr>
            <w:r>
              <w:rPr>
                <w:rFonts w:hint="eastAsia" w:ascii="仿宋_GB2312" w:hAnsi="宋体" w:eastAsia="仿宋_GB2312" w:cs="宋体"/>
                <w:bCs/>
                <w:color w:val="000000"/>
                <w:kern w:val="0"/>
                <w:sz w:val="28"/>
                <w:szCs w:val="28"/>
              </w:rPr>
              <w:t>280</w:t>
            </w:r>
          </w:p>
        </w:tc>
        <w:tc>
          <w:tcPr>
            <w:tcW w:w="946" w:type="pct"/>
            <w:vAlign w:val="center"/>
          </w:tcPr>
          <w:p>
            <w:pPr>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772" w:type="pct"/>
            <w:tcBorders>
              <w:left w:val="single" w:color="auto" w:sz="4" w:space="0"/>
            </w:tcBorders>
            <w:vAlign w:val="center"/>
          </w:tcPr>
          <w:p>
            <w:pPr>
              <w:widowControl/>
              <w:jc w:val="center"/>
              <w:textAlignment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汉阴县</w:t>
            </w:r>
          </w:p>
        </w:tc>
        <w:tc>
          <w:tcPr>
            <w:tcW w:w="1822" w:type="pct"/>
            <w:vAlign w:val="center"/>
          </w:tcPr>
          <w:p>
            <w:pPr>
              <w:widowControl/>
              <w:spacing w:line="0" w:lineRule="atLeast"/>
              <w:jc w:val="left"/>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购置水产品初（精）加工和仓储保鲜设施设备18台。集中连片养殖池塘改造和养殖尾水处理达标200亩。</w:t>
            </w:r>
          </w:p>
        </w:tc>
        <w:tc>
          <w:tcPr>
            <w:tcW w:w="719" w:type="pct"/>
            <w:vAlign w:val="center"/>
          </w:tcPr>
          <w:p>
            <w:pPr>
              <w:widowControl/>
              <w:jc w:val="center"/>
              <w:textAlignment w:val="center"/>
              <w:rPr>
                <w:rFonts w:ascii="仿宋_GB2312" w:eastAsia="仿宋_GB2312"/>
                <w:sz w:val="28"/>
                <w:szCs w:val="28"/>
              </w:rPr>
            </w:pPr>
            <w:r>
              <w:rPr>
                <w:rFonts w:hint="eastAsia" w:ascii="仿宋_GB2312" w:hAnsi="宋体" w:eastAsia="仿宋_GB2312" w:cs="宋体"/>
                <w:bCs/>
                <w:color w:val="000000"/>
                <w:kern w:val="0"/>
                <w:sz w:val="28"/>
                <w:szCs w:val="28"/>
              </w:rPr>
              <w:t>40</w:t>
            </w:r>
          </w:p>
        </w:tc>
        <w:tc>
          <w:tcPr>
            <w:tcW w:w="739" w:type="pct"/>
            <w:vAlign w:val="center"/>
          </w:tcPr>
          <w:p>
            <w:pPr>
              <w:widowControl/>
              <w:jc w:val="center"/>
              <w:textAlignment w:val="center"/>
              <w:rPr>
                <w:rFonts w:ascii="仿宋_GB2312" w:eastAsia="仿宋_GB2312"/>
                <w:sz w:val="28"/>
                <w:szCs w:val="28"/>
              </w:rPr>
            </w:pPr>
            <w:r>
              <w:rPr>
                <w:rFonts w:hint="eastAsia" w:ascii="仿宋_GB2312" w:hAnsi="宋体" w:eastAsia="仿宋_GB2312" w:cs="宋体"/>
                <w:bCs/>
                <w:color w:val="000000"/>
                <w:kern w:val="0"/>
                <w:sz w:val="28"/>
                <w:szCs w:val="28"/>
              </w:rPr>
              <w:t>100</w:t>
            </w:r>
          </w:p>
        </w:tc>
        <w:tc>
          <w:tcPr>
            <w:tcW w:w="946" w:type="pct"/>
            <w:vAlign w:val="center"/>
          </w:tcPr>
          <w:p>
            <w:pPr>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594" w:type="pct"/>
            <w:gridSpan w:val="2"/>
            <w:vAlign w:val="center"/>
          </w:tcPr>
          <w:p>
            <w:pPr>
              <w:widowControl/>
              <w:jc w:val="center"/>
              <w:textAlignment w:val="center"/>
              <w:rPr>
                <w:rFonts w:hint="eastAsia" w:ascii="仿宋_GB2312" w:hAnsi="宋体" w:eastAsia="仿宋_GB2312" w:cs="宋体"/>
                <w:bCs/>
                <w:color w:val="000000"/>
                <w:kern w:val="0"/>
                <w:sz w:val="28"/>
                <w:szCs w:val="28"/>
              </w:rPr>
            </w:pPr>
            <w:r>
              <w:rPr>
                <w:rFonts w:hint="eastAsia" w:ascii="黑体" w:hAnsi="黑体" w:eastAsia="黑体" w:cs="宋体"/>
                <w:bCs/>
                <w:color w:val="000000"/>
                <w:kern w:val="0"/>
                <w:sz w:val="28"/>
                <w:szCs w:val="28"/>
              </w:rPr>
              <w:t>合计（万元）</w:t>
            </w:r>
          </w:p>
        </w:tc>
        <w:tc>
          <w:tcPr>
            <w:tcW w:w="719" w:type="pct"/>
            <w:vAlign w:val="center"/>
          </w:tcPr>
          <w:p>
            <w:pPr>
              <w:widowControl/>
              <w:jc w:val="center"/>
              <w:textAlignment w:val="center"/>
              <w:rPr>
                <w:rFonts w:hint="default"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40</w:t>
            </w:r>
          </w:p>
        </w:tc>
        <w:tc>
          <w:tcPr>
            <w:tcW w:w="739" w:type="pct"/>
            <w:vAlign w:val="center"/>
          </w:tcPr>
          <w:p>
            <w:pPr>
              <w:widowControl/>
              <w:jc w:val="center"/>
              <w:textAlignment w:val="center"/>
              <w:rPr>
                <w:rFonts w:hint="default"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380</w:t>
            </w:r>
          </w:p>
        </w:tc>
        <w:tc>
          <w:tcPr>
            <w:tcW w:w="946" w:type="pct"/>
            <w:vAlign w:val="center"/>
          </w:tcPr>
          <w:p>
            <w:pPr>
              <w:widowControl/>
              <w:jc w:val="center"/>
              <w:textAlignment w:val="center"/>
              <w:rPr>
                <w:rFonts w:hint="default"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420</w:t>
            </w:r>
          </w:p>
        </w:tc>
      </w:tr>
    </w:tbl>
    <w:p>
      <w:pPr>
        <w:pStyle w:val="2"/>
        <w:sectPr>
          <w:pgSz w:w="16838" w:h="11906" w:orient="landscape"/>
          <w:pgMar w:top="1587" w:right="2098" w:bottom="1474" w:left="1984" w:header="851" w:footer="1134"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
        <w:ind w:firstLine="420"/>
      </w:pPr>
    </w:p>
    <w:p>
      <w:pPr>
        <w:pStyle w:val="2"/>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left="0" w:leftChars="0" w:firstLine="0" w:firstLineChars="0"/>
      </w:pPr>
    </w:p>
    <w:p>
      <w:pPr>
        <w:snapToGrid w:val="0"/>
        <w:spacing w:line="200" w:lineRule="exact"/>
        <w:rPr>
          <w:rFonts w:ascii="仿宋_GB2312" w:hAnsi="仿宋" w:eastAsia="仿宋_GB2312" w:cs="仿宋"/>
          <w:sz w:val="32"/>
          <w:szCs w:val="32"/>
        </w:rPr>
      </w:pPr>
    </w:p>
    <w:p>
      <w:pPr>
        <w:snapToGrid w:val="0"/>
        <w:spacing w:line="440" w:lineRule="exact"/>
        <w:ind w:firstLine="160" w:firstLineChars="50"/>
        <w:rPr>
          <w:rFonts w:hint="eastAsia" w:ascii="仿宋_GB2312" w:eastAsia="仿宋_GB2312"/>
          <w:sz w:val="28"/>
          <w:szCs w:val="28"/>
          <w:lang w:eastAsia="zh-CN"/>
        </w:rPr>
      </w:pPr>
      <w:r>
        <w:rPr>
          <w:rFonts w:ascii="仿宋_GB2312" w:hAnsi="仿宋" w:eastAsia="仿宋_GB2312" w:cs="仿宋"/>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28575</wp:posOffset>
                </wp:positionV>
                <wp:extent cx="5615940" cy="0"/>
                <wp:effectExtent l="0" t="0" r="0" b="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top:2.25pt;height:0pt;width:442.2pt;mso-position-horizontal:center;z-index:251661312;mso-width-relative:page;mso-height-relative:page;" filled="f" stroked="t" coordsize="21600,21600" o:gfxdata="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asUs0gAAAAQB&#10;AAAPAAAAAAAAAAEAIAAAACIAAABkcnMvZG93bnJldi54bWxQSwECFAAUAAAACACHTuJAQh52HegB&#10;AADbAwAADgAAAAAAAAABACAAAAAhAQAAZHJzL2Uyb0RvYy54bWxQSwUGAAAAAAYABgBZAQAAewUA&#10;AAAA&#10;">
                <v:fill on="f" focussize="0,0"/>
                <v:stroke color="#000000" joinstyle="round"/>
                <v:imagedata o:title=""/>
                <o:lock v:ext="edit" aspectratio="f"/>
              </v:line>
            </w:pict>
          </mc:Fallback>
        </mc:AlternateContent>
      </w:r>
      <w:r>
        <w:rPr>
          <w:rFonts w:ascii="仿宋_GB2312" w:eastAsia="仿宋_GB2312"/>
          <w:sz w:val="28"/>
          <w:szCs w:val="28"/>
        </w:rPr>
        <w:t>抄送</w:t>
      </w:r>
      <w:r>
        <w:rPr>
          <w:rFonts w:hint="eastAsia" w:ascii="仿宋_GB2312" w:eastAsia="仿宋_GB2312"/>
          <w:sz w:val="28"/>
          <w:szCs w:val="28"/>
        </w:rPr>
        <w:t>：</w:t>
      </w:r>
      <w:r>
        <w:rPr>
          <w:rFonts w:hint="eastAsia" w:ascii="仿宋_GB2312" w:eastAsia="仿宋_GB2312"/>
          <w:sz w:val="28"/>
          <w:szCs w:val="28"/>
          <w:lang w:eastAsia="zh-CN"/>
        </w:rPr>
        <w:t>省农业农村厅</w:t>
      </w:r>
      <w:r>
        <w:rPr>
          <w:rFonts w:hint="eastAsia" w:ascii="仿宋_GB2312" w:eastAsia="仿宋_GB2312"/>
          <w:sz w:val="28"/>
          <w:szCs w:val="28"/>
        </w:rPr>
        <w:t>，</w:t>
      </w:r>
      <w:r>
        <w:rPr>
          <w:rFonts w:hint="eastAsia" w:ascii="仿宋_GB2312" w:eastAsia="仿宋_GB2312"/>
          <w:sz w:val="28"/>
          <w:szCs w:val="28"/>
          <w:lang w:eastAsia="zh-CN"/>
        </w:rPr>
        <w:t>市财政局，各有关县（市、区）财政局。</w:t>
      </w:r>
    </w:p>
    <w:p>
      <w:pPr>
        <w:snapToGrid w:val="0"/>
        <w:spacing w:line="440" w:lineRule="exact"/>
        <w:ind w:firstLine="140" w:firstLineChars="50"/>
        <w:rPr>
          <w:rFonts w:ascii="仿宋_GB2312" w:hAnsi="仿宋"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28575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1pt;margin-top:2.25pt;height:0pt;width:442.2pt;z-index:251660288;mso-width-relative:page;mso-height-relative:page;" filled="f" stroked="t" coordsize="21600,21600" o:gfxdata="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Lo2g0gAAAAQB&#10;AAAPAAAAAAAAAAEAIAAAACIAAABkcnMvZG93bnJldi54bWxQSwECFAAUAAAACACHTuJAyQRLXegB&#10;AADbAwAADgAAAAAAAAABACAAAAAhAQAAZHJzL2Uyb0RvYy54bWxQSwUGAAAAAAYABgBZAQAAewUA&#10;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295910</wp:posOffset>
                </wp:positionV>
                <wp:extent cx="5615940" cy="0"/>
                <wp:effectExtent l="0" t="0" r="0" b="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3.3pt;height:0pt;width:442.2pt;z-index:251659264;mso-width-relative:page;mso-height-relative:page;" filled="f" stroked="t" coordsize="21600,21600" o:gfxdata="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hKvy1QAA&#10;AAYBAAAPAAAAAAAAAAEAIAAAACIAAABkcnMvZG93bnJldi54bWxQSwECFAAUAAAACACHTuJALu2i&#10;zugBAADbAwAADgAAAAAAAAABACAAAAAkAQAAZHJzL2Uyb0RvYy54bWxQSwUGAAAAAAYABgBZAQAA&#10;fgUAAAAA&#10;">
                <v:fill on="f" focussize="0,0"/>
                <v:stroke color="#000000" joinstyle="round"/>
                <v:imagedata o:title=""/>
                <o:lock v:ext="edit" aspectratio="f"/>
              </v:line>
            </w:pict>
          </mc:Fallback>
        </mc:AlternateContent>
      </w:r>
      <w:r>
        <w:rPr>
          <w:rFonts w:hint="eastAsia" w:ascii="仿宋_GB2312" w:eastAsia="仿宋_GB2312"/>
          <w:sz w:val="28"/>
          <w:szCs w:val="28"/>
          <w:lang w:eastAsia="zh-CN"/>
        </w:rPr>
        <w:t>安康市农业农村局政办科</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eastAsia="仿宋_GB2312"/>
          <w:sz w:val="28"/>
          <w:szCs w:val="28"/>
        </w:rPr>
        <w:t>2023</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17</w:t>
      </w:r>
      <w:r>
        <w:rPr>
          <w:rFonts w:hint="eastAsia" w:ascii="仿宋_GB2312" w:hAnsi="仿宋" w:eastAsia="仿宋_GB2312"/>
          <w:sz w:val="28"/>
          <w:szCs w:val="28"/>
        </w:rPr>
        <w:t>日印发</w:t>
      </w:r>
    </w:p>
    <w:sectPr>
      <w:footerReference r:id="rId6" w:type="even"/>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ahvrT5wEAAMcD&#10;AAAOAAAAAAAAAAEAIAAAAB4BAABkcnMvZTJvRG9jLnhtbFBLBQYAAAAABgAGAFkBAAB3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- 8 -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IAVecBAADHAwAADgAAAGRycy9lMm9Eb2MueG1srVNLbtswEN0XyB0I&#10;7mMpBt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ryix3ODAj79+Hn//Pf75&#10;Qa6SPJ0PFUbdeYyL/XvX49JM9wEvE+u+AZP+yIegH8U9nMSVfSQiJS3mi0WJLoG+6YD4xVO6hxA/&#10;SmdIMhgFnF4Wle8/hziETiGpmnW3Sus8QW1Jx+i7y/ll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AgBV5wEAAMcD&#10;AAAOAAAAAAAAAAEAIAAAAB4BAABkcnMvZTJvRG9jLnhtbFBLBQYAAAAABgAGAFkBAAB3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rQejDmAQAAxwMA&#10;AA4AAAAAAAAAAQAgAAAAHgEAAGRycy9lMm9Eb2MueG1sUEsFBgAAAAAGAAYAWQEAAHY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CSB3PmAQAAxwMA&#10;AA4AAAAAAAAAAQAgAAAAHgEAAGRycy9lMm9Eb2MueG1sUEsFBgAAAAAGAAYAWQEAAHY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GZkNDc2MzhlZjhmZmNjMzUyMjNmNzhkOThkZDIifQ=="/>
  </w:docVars>
  <w:rsids>
    <w:rsidRoot w:val="00720240"/>
    <w:rsid w:val="00000BEB"/>
    <w:rsid w:val="000024A4"/>
    <w:rsid w:val="000113A5"/>
    <w:rsid w:val="00030D2C"/>
    <w:rsid w:val="000332CA"/>
    <w:rsid w:val="00035E72"/>
    <w:rsid w:val="00037D91"/>
    <w:rsid w:val="000605BC"/>
    <w:rsid w:val="000673DD"/>
    <w:rsid w:val="000703C7"/>
    <w:rsid w:val="000810F4"/>
    <w:rsid w:val="00081F02"/>
    <w:rsid w:val="000A65D7"/>
    <w:rsid w:val="000B49CA"/>
    <w:rsid w:val="000B7139"/>
    <w:rsid w:val="000C0887"/>
    <w:rsid w:val="000D1B51"/>
    <w:rsid w:val="000E1C0B"/>
    <w:rsid w:val="0010394E"/>
    <w:rsid w:val="0013211C"/>
    <w:rsid w:val="001431A0"/>
    <w:rsid w:val="0014423E"/>
    <w:rsid w:val="001444BB"/>
    <w:rsid w:val="001457A0"/>
    <w:rsid w:val="00145CA3"/>
    <w:rsid w:val="0016284A"/>
    <w:rsid w:val="00163417"/>
    <w:rsid w:val="001744C7"/>
    <w:rsid w:val="00177CFC"/>
    <w:rsid w:val="0018283E"/>
    <w:rsid w:val="001837C0"/>
    <w:rsid w:val="00183A04"/>
    <w:rsid w:val="00186B33"/>
    <w:rsid w:val="00190767"/>
    <w:rsid w:val="00190A19"/>
    <w:rsid w:val="001A04AE"/>
    <w:rsid w:val="001A307D"/>
    <w:rsid w:val="001A3224"/>
    <w:rsid w:val="001B06EA"/>
    <w:rsid w:val="001B78AD"/>
    <w:rsid w:val="001C0A8F"/>
    <w:rsid w:val="001C4249"/>
    <w:rsid w:val="001E45C3"/>
    <w:rsid w:val="001F5445"/>
    <w:rsid w:val="00201F7F"/>
    <w:rsid w:val="00221301"/>
    <w:rsid w:val="002249DA"/>
    <w:rsid w:val="00244077"/>
    <w:rsid w:val="00256924"/>
    <w:rsid w:val="00267564"/>
    <w:rsid w:val="0027103D"/>
    <w:rsid w:val="0027780F"/>
    <w:rsid w:val="00281438"/>
    <w:rsid w:val="00283A19"/>
    <w:rsid w:val="00286AA6"/>
    <w:rsid w:val="00286B89"/>
    <w:rsid w:val="00287E79"/>
    <w:rsid w:val="00293C21"/>
    <w:rsid w:val="00294250"/>
    <w:rsid w:val="002A2437"/>
    <w:rsid w:val="002A32B7"/>
    <w:rsid w:val="002A3D64"/>
    <w:rsid w:val="002A6B4D"/>
    <w:rsid w:val="002A7B58"/>
    <w:rsid w:val="002A7E1A"/>
    <w:rsid w:val="002B217E"/>
    <w:rsid w:val="002C7391"/>
    <w:rsid w:val="002D0CAA"/>
    <w:rsid w:val="002D2E18"/>
    <w:rsid w:val="002D563D"/>
    <w:rsid w:val="002F4EDB"/>
    <w:rsid w:val="002F70D5"/>
    <w:rsid w:val="002F74DC"/>
    <w:rsid w:val="002F7DCF"/>
    <w:rsid w:val="00300601"/>
    <w:rsid w:val="0030150A"/>
    <w:rsid w:val="00303F44"/>
    <w:rsid w:val="00315362"/>
    <w:rsid w:val="00323FF7"/>
    <w:rsid w:val="00334E38"/>
    <w:rsid w:val="00336BC6"/>
    <w:rsid w:val="003373B8"/>
    <w:rsid w:val="00337FE8"/>
    <w:rsid w:val="00343A4F"/>
    <w:rsid w:val="00345146"/>
    <w:rsid w:val="00347697"/>
    <w:rsid w:val="00363DE4"/>
    <w:rsid w:val="003679A7"/>
    <w:rsid w:val="00371CAB"/>
    <w:rsid w:val="0037314D"/>
    <w:rsid w:val="00373C6A"/>
    <w:rsid w:val="00387824"/>
    <w:rsid w:val="00392152"/>
    <w:rsid w:val="003928B4"/>
    <w:rsid w:val="003C099E"/>
    <w:rsid w:val="003C4D8D"/>
    <w:rsid w:val="003C59A1"/>
    <w:rsid w:val="003D2F52"/>
    <w:rsid w:val="003D68E6"/>
    <w:rsid w:val="003E16E8"/>
    <w:rsid w:val="003E1EB3"/>
    <w:rsid w:val="003E348F"/>
    <w:rsid w:val="003F14C2"/>
    <w:rsid w:val="003F167E"/>
    <w:rsid w:val="003F1D9F"/>
    <w:rsid w:val="00402DC3"/>
    <w:rsid w:val="004042EC"/>
    <w:rsid w:val="00405375"/>
    <w:rsid w:val="004056FC"/>
    <w:rsid w:val="00405D50"/>
    <w:rsid w:val="0041297F"/>
    <w:rsid w:val="00431C49"/>
    <w:rsid w:val="00434F3B"/>
    <w:rsid w:val="004366A5"/>
    <w:rsid w:val="00447B7F"/>
    <w:rsid w:val="00460737"/>
    <w:rsid w:val="004671C0"/>
    <w:rsid w:val="00473912"/>
    <w:rsid w:val="004859E0"/>
    <w:rsid w:val="004900C7"/>
    <w:rsid w:val="00497D91"/>
    <w:rsid w:val="004A6B3C"/>
    <w:rsid w:val="004A73FC"/>
    <w:rsid w:val="004B207A"/>
    <w:rsid w:val="004B2DA0"/>
    <w:rsid w:val="004B43E0"/>
    <w:rsid w:val="004C26D4"/>
    <w:rsid w:val="004F4CB2"/>
    <w:rsid w:val="00515E73"/>
    <w:rsid w:val="00516F98"/>
    <w:rsid w:val="00520B25"/>
    <w:rsid w:val="0054454A"/>
    <w:rsid w:val="00546727"/>
    <w:rsid w:val="00551297"/>
    <w:rsid w:val="00563F4A"/>
    <w:rsid w:val="00575AF1"/>
    <w:rsid w:val="00577815"/>
    <w:rsid w:val="0058118C"/>
    <w:rsid w:val="00586083"/>
    <w:rsid w:val="005950F3"/>
    <w:rsid w:val="005A0DE5"/>
    <w:rsid w:val="005B07F3"/>
    <w:rsid w:val="005B6366"/>
    <w:rsid w:val="005B7B2F"/>
    <w:rsid w:val="005C5AD7"/>
    <w:rsid w:val="005D37E9"/>
    <w:rsid w:val="005D421F"/>
    <w:rsid w:val="005D6B43"/>
    <w:rsid w:val="005E253A"/>
    <w:rsid w:val="005F0C88"/>
    <w:rsid w:val="005F46E0"/>
    <w:rsid w:val="005F553B"/>
    <w:rsid w:val="005F6EF2"/>
    <w:rsid w:val="00600A54"/>
    <w:rsid w:val="006033E9"/>
    <w:rsid w:val="006119C8"/>
    <w:rsid w:val="00614B01"/>
    <w:rsid w:val="0062618A"/>
    <w:rsid w:val="00627775"/>
    <w:rsid w:val="00642F40"/>
    <w:rsid w:val="006446CF"/>
    <w:rsid w:val="006458B4"/>
    <w:rsid w:val="00652CE2"/>
    <w:rsid w:val="0067350E"/>
    <w:rsid w:val="00677DD7"/>
    <w:rsid w:val="006A0767"/>
    <w:rsid w:val="006B1587"/>
    <w:rsid w:val="006C4A03"/>
    <w:rsid w:val="006E2959"/>
    <w:rsid w:val="006F31D8"/>
    <w:rsid w:val="006F474B"/>
    <w:rsid w:val="00700487"/>
    <w:rsid w:val="007006CC"/>
    <w:rsid w:val="0070691B"/>
    <w:rsid w:val="00710E4A"/>
    <w:rsid w:val="00713214"/>
    <w:rsid w:val="00716E29"/>
    <w:rsid w:val="00720240"/>
    <w:rsid w:val="00723961"/>
    <w:rsid w:val="00726D9E"/>
    <w:rsid w:val="00730A91"/>
    <w:rsid w:val="007322D6"/>
    <w:rsid w:val="00736374"/>
    <w:rsid w:val="00752455"/>
    <w:rsid w:val="00760331"/>
    <w:rsid w:val="0076135A"/>
    <w:rsid w:val="00761DA9"/>
    <w:rsid w:val="0076211F"/>
    <w:rsid w:val="00766B39"/>
    <w:rsid w:val="00767E81"/>
    <w:rsid w:val="00772E07"/>
    <w:rsid w:val="00775212"/>
    <w:rsid w:val="00776B18"/>
    <w:rsid w:val="00780213"/>
    <w:rsid w:val="00780285"/>
    <w:rsid w:val="00781FDB"/>
    <w:rsid w:val="00785C47"/>
    <w:rsid w:val="00785C5C"/>
    <w:rsid w:val="00791BDE"/>
    <w:rsid w:val="00791D94"/>
    <w:rsid w:val="00793956"/>
    <w:rsid w:val="007941D8"/>
    <w:rsid w:val="007B3264"/>
    <w:rsid w:val="007B3C87"/>
    <w:rsid w:val="007B4D2D"/>
    <w:rsid w:val="007C30C2"/>
    <w:rsid w:val="007C4D01"/>
    <w:rsid w:val="007D327A"/>
    <w:rsid w:val="007E0EE6"/>
    <w:rsid w:val="007E101F"/>
    <w:rsid w:val="007E72BA"/>
    <w:rsid w:val="007F2497"/>
    <w:rsid w:val="007F43A4"/>
    <w:rsid w:val="007F7CFC"/>
    <w:rsid w:val="0080073E"/>
    <w:rsid w:val="00804833"/>
    <w:rsid w:val="00815670"/>
    <w:rsid w:val="00816F69"/>
    <w:rsid w:val="00821ECD"/>
    <w:rsid w:val="008228F2"/>
    <w:rsid w:val="0082427A"/>
    <w:rsid w:val="008251C8"/>
    <w:rsid w:val="00826483"/>
    <w:rsid w:val="0083025D"/>
    <w:rsid w:val="0083112A"/>
    <w:rsid w:val="008312D1"/>
    <w:rsid w:val="0083418C"/>
    <w:rsid w:val="00837AA4"/>
    <w:rsid w:val="008429DC"/>
    <w:rsid w:val="008546C6"/>
    <w:rsid w:val="00855A16"/>
    <w:rsid w:val="00866731"/>
    <w:rsid w:val="0087053F"/>
    <w:rsid w:val="00872877"/>
    <w:rsid w:val="00883F2E"/>
    <w:rsid w:val="0088576D"/>
    <w:rsid w:val="008858CC"/>
    <w:rsid w:val="008913A8"/>
    <w:rsid w:val="008963DB"/>
    <w:rsid w:val="008A78B7"/>
    <w:rsid w:val="008B6A79"/>
    <w:rsid w:val="008B73D5"/>
    <w:rsid w:val="008C2936"/>
    <w:rsid w:val="008D44DD"/>
    <w:rsid w:val="008E08E6"/>
    <w:rsid w:val="008E105F"/>
    <w:rsid w:val="008E2093"/>
    <w:rsid w:val="008E259F"/>
    <w:rsid w:val="008E6983"/>
    <w:rsid w:val="008E7E4A"/>
    <w:rsid w:val="008F0319"/>
    <w:rsid w:val="008F22B8"/>
    <w:rsid w:val="00915411"/>
    <w:rsid w:val="00915F9A"/>
    <w:rsid w:val="00933A17"/>
    <w:rsid w:val="00943472"/>
    <w:rsid w:val="00946172"/>
    <w:rsid w:val="00950821"/>
    <w:rsid w:val="009578F3"/>
    <w:rsid w:val="00961031"/>
    <w:rsid w:val="00963D78"/>
    <w:rsid w:val="00971055"/>
    <w:rsid w:val="00976608"/>
    <w:rsid w:val="0098342B"/>
    <w:rsid w:val="009868A4"/>
    <w:rsid w:val="009878E2"/>
    <w:rsid w:val="00997BFB"/>
    <w:rsid w:val="009A5632"/>
    <w:rsid w:val="009B2376"/>
    <w:rsid w:val="009C014E"/>
    <w:rsid w:val="009C0688"/>
    <w:rsid w:val="009C6B18"/>
    <w:rsid w:val="009C6F65"/>
    <w:rsid w:val="009D10B5"/>
    <w:rsid w:val="009D3BE9"/>
    <w:rsid w:val="009D4B25"/>
    <w:rsid w:val="009D566F"/>
    <w:rsid w:val="009E3EC3"/>
    <w:rsid w:val="009E51F1"/>
    <w:rsid w:val="009E5B49"/>
    <w:rsid w:val="009F1358"/>
    <w:rsid w:val="009F6839"/>
    <w:rsid w:val="00A006BC"/>
    <w:rsid w:val="00A037AB"/>
    <w:rsid w:val="00A1280D"/>
    <w:rsid w:val="00A15ADB"/>
    <w:rsid w:val="00A20384"/>
    <w:rsid w:val="00A46129"/>
    <w:rsid w:val="00A52D97"/>
    <w:rsid w:val="00A54A19"/>
    <w:rsid w:val="00A624C0"/>
    <w:rsid w:val="00A62DC7"/>
    <w:rsid w:val="00A6339A"/>
    <w:rsid w:val="00A63CF6"/>
    <w:rsid w:val="00A65CF2"/>
    <w:rsid w:val="00A85167"/>
    <w:rsid w:val="00A92AF0"/>
    <w:rsid w:val="00A94ACD"/>
    <w:rsid w:val="00A978DD"/>
    <w:rsid w:val="00AA016D"/>
    <w:rsid w:val="00AA66CC"/>
    <w:rsid w:val="00AA6972"/>
    <w:rsid w:val="00AE6FB3"/>
    <w:rsid w:val="00AF0A4F"/>
    <w:rsid w:val="00AF4380"/>
    <w:rsid w:val="00B13DA3"/>
    <w:rsid w:val="00B3122D"/>
    <w:rsid w:val="00B33C6E"/>
    <w:rsid w:val="00B47329"/>
    <w:rsid w:val="00B5084E"/>
    <w:rsid w:val="00B52795"/>
    <w:rsid w:val="00B55459"/>
    <w:rsid w:val="00B60428"/>
    <w:rsid w:val="00B62821"/>
    <w:rsid w:val="00B6473D"/>
    <w:rsid w:val="00B71E2D"/>
    <w:rsid w:val="00B726CD"/>
    <w:rsid w:val="00B76504"/>
    <w:rsid w:val="00B77D29"/>
    <w:rsid w:val="00B90ACB"/>
    <w:rsid w:val="00B924D5"/>
    <w:rsid w:val="00B97507"/>
    <w:rsid w:val="00BA2F49"/>
    <w:rsid w:val="00BA4441"/>
    <w:rsid w:val="00BA7186"/>
    <w:rsid w:val="00BB1098"/>
    <w:rsid w:val="00BB1418"/>
    <w:rsid w:val="00BB49D5"/>
    <w:rsid w:val="00BB5019"/>
    <w:rsid w:val="00BB7BAC"/>
    <w:rsid w:val="00BC53D2"/>
    <w:rsid w:val="00BC66D1"/>
    <w:rsid w:val="00BD0DD8"/>
    <w:rsid w:val="00BE687A"/>
    <w:rsid w:val="00BF3AD9"/>
    <w:rsid w:val="00BF5033"/>
    <w:rsid w:val="00BF5E17"/>
    <w:rsid w:val="00C16392"/>
    <w:rsid w:val="00C23071"/>
    <w:rsid w:val="00C26CDF"/>
    <w:rsid w:val="00C33144"/>
    <w:rsid w:val="00C421D6"/>
    <w:rsid w:val="00C43F6D"/>
    <w:rsid w:val="00C5222B"/>
    <w:rsid w:val="00C52A2C"/>
    <w:rsid w:val="00C55958"/>
    <w:rsid w:val="00C6526D"/>
    <w:rsid w:val="00C65727"/>
    <w:rsid w:val="00C75E21"/>
    <w:rsid w:val="00C82EAF"/>
    <w:rsid w:val="00C83304"/>
    <w:rsid w:val="00C902A5"/>
    <w:rsid w:val="00C91569"/>
    <w:rsid w:val="00C92FFC"/>
    <w:rsid w:val="00C94081"/>
    <w:rsid w:val="00CA09D3"/>
    <w:rsid w:val="00CA3987"/>
    <w:rsid w:val="00CA6FED"/>
    <w:rsid w:val="00CE5359"/>
    <w:rsid w:val="00CF27F8"/>
    <w:rsid w:val="00CF381E"/>
    <w:rsid w:val="00D01061"/>
    <w:rsid w:val="00D06D35"/>
    <w:rsid w:val="00D2511E"/>
    <w:rsid w:val="00D4518A"/>
    <w:rsid w:val="00D547AA"/>
    <w:rsid w:val="00D63CD6"/>
    <w:rsid w:val="00D669F5"/>
    <w:rsid w:val="00D713F2"/>
    <w:rsid w:val="00D7584D"/>
    <w:rsid w:val="00D8361C"/>
    <w:rsid w:val="00D9290C"/>
    <w:rsid w:val="00D95BDC"/>
    <w:rsid w:val="00DA11C5"/>
    <w:rsid w:val="00DA4A8A"/>
    <w:rsid w:val="00DB0CB9"/>
    <w:rsid w:val="00DB0E06"/>
    <w:rsid w:val="00DB1BBE"/>
    <w:rsid w:val="00DC5A42"/>
    <w:rsid w:val="00DD60C8"/>
    <w:rsid w:val="00DE649D"/>
    <w:rsid w:val="00DF331E"/>
    <w:rsid w:val="00DF6C67"/>
    <w:rsid w:val="00E04526"/>
    <w:rsid w:val="00E07E75"/>
    <w:rsid w:val="00E142CF"/>
    <w:rsid w:val="00E24D36"/>
    <w:rsid w:val="00E26725"/>
    <w:rsid w:val="00E3449F"/>
    <w:rsid w:val="00E52F4F"/>
    <w:rsid w:val="00E54DE7"/>
    <w:rsid w:val="00E55F30"/>
    <w:rsid w:val="00E734F0"/>
    <w:rsid w:val="00E821A6"/>
    <w:rsid w:val="00E854FF"/>
    <w:rsid w:val="00E9249A"/>
    <w:rsid w:val="00EA08DF"/>
    <w:rsid w:val="00EA741C"/>
    <w:rsid w:val="00EB1716"/>
    <w:rsid w:val="00EB6E14"/>
    <w:rsid w:val="00EC57AC"/>
    <w:rsid w:val="00ED2F9A"/>
    <w:rsid w:val="00EE7AEF"/>
    <w:rsid w:val="00EF046F"/>
    <w:rsid w:val="00EF570B"/>
    <w:rsid w:val="00F018F0"/>
    <w:rsid w:val="00F021F2"/>
    <w:rsid w:val="00F06A37"/>
    <w:rsid w:val="00F2264C"/>
    <w:rsid w:val="00F226D1"/>
    <w:rsid w:val="00F27AD1"/>
    <w:rsid w:val="00F314C8"/>
    <w:rsid w:val="00F40335"/>
    <w:rsid w:val="00F43A5F"/>
    <w:rsid w:val="00F57A10"/>
    <w:rsid w:val="00F652D2"/>
    <w:rsid w:val="00F65CA8"/>
    <w:rsid w:val="00F67650"/>
    <w:rsid w:val="00F752A6"/>
    <w:rsid w:val="00F947B4"/>
    <w:rsid w:val="00FC1888"/>
    <w:rsid w:val="00FC423E"/>
    <w:rsid w:val="00FC5CF7"/>
    <w:rsid w:val="00FC79F8"/>
    <w:rsid w:val="00FD5960"/>
    <w:rsid w:val="00FD613E"/>
    <w:rsid w:val="00FE2033"/>
    <w:rsid w:val="00FE3AC1"/>
    <w:rsid w:val="00FE427C"/>
    <w:rsid w:val="00FF0B7A"/>
    <w:rsid w:val="00FF107C"/>
    <w:rsid w:val="19D16295"/>
    <w:rsid w:val="20126D60"/>
    <w:rsid w:val="2A753B73"/>
    <w:rsid w:val="2CD13D62"/>
    <w:rsid w:val="44D75CFE"/>
    <w:rsid w:val="5AD58D78"/>
    <w:rsid w:val="5C7C7723"/>
    <w:rsid w:val="626510F7"/>
    <w:rsid w:val="630DBBF2"/>
    <w:rsid w:val="69BF6E7B"/>
    <w:rsid w:val="73FB0BEC"/>
    <w:rsid w:val="96FC630C"/>
    <w:rsid w:val="AF77E58D"/>
    <w:rsid w:val="B4BEE74E"/>
    <w:rsid w:val="BAEBAB0C"/>
    <w:rsid w:val="BFF37D42"/>
    <w:rsid w:val="DDE297BC"/>
    <w:rsid w:val="F92D8600"/>
    <w:rsid w:val="FCCE3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line="360" w:lineRule="auto"/>
      <w:ind w:firstLine="560" w:firstLineChars="200"/>
      <w:outlineLvl w:val="1"/>
    </w:pPr>
    <w:rPr>
      <w:rFonts w:ascii="黑体" w:hAnsi="宋体" w:eastAsia="黑体"/>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正文"/>
    <w:basedOn w:val="1"/>
    <w:qFormat/>
    <w:uiPriority w:val="0"/>
    <w:pPr>
      <w:ind w:firstLine="200" w:firstLineChars="200"/>
    </w:pPr>
    <w:rPr>
      <w:rFonts w:ascii="Calibri" w:hAnsi="Calibri" w:eastAsia="宋体" w:cs="Times New Roman"/>
    </w:rPr>
  </w:style>
  <w:style w:type="paragraph" w:styleId="4">
    <w:name w:val="Normal Indent"/>
    <w:basedOn w:val="1"/>
    <w:next w:val="1"/>
    <w:qFormat/>
    <w:uiPriority w:val="0"/>
    <w:pPr>
      <w:spacing w:line="360" w:lineRule="auto"/>
      <w:ind w:firstLine="420" w:firstLineChars="200"/>
    </w:pPr>
    <w:rPr>
      <w:rFonts w:ascii="Times New Roman" w:hAnsi="Times New Roman" w:eastAsia="仿宋_GB2312" w:cs="Times New Roman"/>
      <w:sz w:val="32"/>
      <w:szCs w:val="24"/>
    </w:rPr>
  </w:style>
  <w:style w:type="paragraph" w:styleId="5">
    <w:name w:val="Body Text 3"/>
    <w:basedOn w:val="1"/>
    <w:qFormat/>
    <w:uiPriority w:val="0"/>
    <w:rPr>
      <w:sz w:val="16"/>
    </w:rPr>
  </w:style>
  <w:style w:type="paragraph" w:styleId="6">
    <w:name w:val="Body Text"/>
    <w:basedOn w:val="1"/>
    <w:next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7">
    <w:name w:val="Body Text Indent"/>
    <w:basedOn w:val="1"/>
    <w:link w:val="34"/>
    <w:semiHidden/>
    <w:unhideWhenUsed/>
    <w:qFormat/>
    <w:uiPriority w:val="99"/>
    <w:pPr>
      <w:spacing w:after="120"/>
      <w:ind w:left="420" w:leftChars="200"/>
    </w:pPr>
  </w:style>
  <w:style w:type="paragraph" w:styleId="8">
    <w:name w:val="Date"/>
    <w:basedOn w:val="1"/>
    <w:next w:val="1"/>
    <w:link w:val="21"/>
    <w:unhideWhenUsed/>
    <w:qFormat/>
    <w:uiPriority w:val="0"/>
    <w:pPr>
      <w:ind w:left="100" w:leftChars="2500"/>
    </w:pPr>
  </w:style>
  <w:style w:type="paragraph" w:styleId="9">
    <w:name w:val="Balloon Text"/>
    <w:basedOn w:val="1"/>
    <w:link w:val="26"/>
    <w:unhideWhenUsed/>
    <w:qFormat/>
    <w:uiPriority w:val="0"/>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正文缩进1"/>
    <w:basedOn w:val="1"/>
    <w:qFormat/>
    <w:uiPriority w:val="0"/>
    <w:pPr>
      <w:ind w:firstLine="720" w:firstLineChars="200"/>
    </w:pPr>
    <w:rPr>
      <w:rFonts w:hint="eastAsia" w:ascii="Times New Roman" w:hAnsi="Times New Roman" w:eastAsia="楷体_GB2312"/>
      <w:sz w:val="30"/>
      <w:szCs w:val="24"/>
    </w:rPr>
  </w:style>
  <w:style w:type="character" w:customStyle="1" w:styleId="18">
    <w:name w:val="页眉 Char"/>
    <w:basedOn w:val="15"/>
    <w:link w:val="11"/>
    <w:qFormat/>
    <w:uiPriority w:val="0"/>
    <w:rPr>
      <w:sz w:val="18"/>
      <w:szCs w:val="18"/>
    </w:rPr>
  </w:style>
  <w:style w:type="character" w:customStyle="1" w:styleId="19">
    <w:name w:val="页脚 Char"/>
    <w:basedOn w:val="15"/>
    <w:link w:val="10"/>
    <w:qFormat/>
    <w:uiPriority w:val="0"/>
    <w:rPr>
      <w:sz w:val="18"/>
      <w:szCs w:val="18"/>
    </w:rPr>
  </w:style>
  <w:style w:type="paragraph" w:customStyle="1" w:styleId="20">
    <w:name w:val="Char Char Char Char Char Char Char Char1 Char Char Char1 Char Char Char Char Char Char Char Char Char Char"/>
    <w:basedOn w:val="1"/>
    <w:qFormat/>
    <w:uiPriority w:val="0"/>
    <w:pPr>
      <w:widowControl/>
      <w:spacing w:after="160" w:line="240" w:lineRule="exact"/>
      <w:jc w:val="left"/>
    </w:pPr>
    <w:rPr>
      <w:rFonts w:ascii="Calibri" w:hAnsi="Calibri" w:eastAsia="宋体" w:cs="Times New Roman"/>
    </w:rPr>
  </w:style>
  <w:style w:type="character" w:customStyle="1" w:styleId="21">
    <w:name w:val="日期 Char"/>
    <w:basedOn w:val="15"/>
    <w:link w:val="8"/>
    <w:qFormat/>
    <w:uiPriority w:val="0"/>
  </w:style>
  <w:style w:type="paragraph" w:customStyle="1" w:styleId="22">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styleId="23">
    <w:name w:val="List Paragraph"/>
    <w:basedOn w:val="1"/>
    <w:qFormat/>
    <w:uiPriority w:val="34"/>
    <w:pPr>
      <w:ind w:firstLine="420" w:firstLineChars="200"/>
    </w:pPr>
  </w:style>
  <w:style w:type="character" w:customStyle="1" w:styleId="24">
    <w:name w:val="正文文本_"/>
    <w:link w:val="25"/>
    <w:qFormat/>
    <w:uiPriority w:val="0"/>
    <w:rPr>
      <w:rFonts w:ascii="宋体" w:hAnsi="宋体" w:eastAsia="宋体" w:cs="宋体"/>
      <w:sz w:val="30"/>
      <w:szCs w:val="30"/>
      <w:shd w:val="clear" w:color="auto" w:fill="FFFFFF"/>
      <w:lang w:val="zh-CN" w:bidi="zh-CN"/>
    </w:rPr>
  </w:style>
  <w:style w:type="paragraph" w:customStyle="1" w:styleId="25">
    <w:name w:val="正文文本1"/>
    <w:basedOn w:val="1"/>
    <w:link w:val="24"/>
    <w:qFormat/>
    <w:uiPriority w:val="0"/>
    <w:pPr>
      <w:shd w:val="clear" w:color="auto" w:fill="FFFFFF"/>
      <w:spacing w:line="430" w:lineRule="auto"/>
      <w:ind w:firstLine="140"/>
    </w:pPr>
    <w:rPr>
      <w:rFonts w:ascii="宋体" w:hAnsi="宋体" w:eastAsia="宋体" w:cs="宋体"/>
      <w:sz w:val="30"/>
      <w:szCs w:val="30"/>
      <w:lang w:val="zh-CN" w:bidi="zh-CN"/>
    </w:rPr>
  </w:style>
  <w:style w:type="character" w:customStyle="1" w:styleId="26">
    <w:name w:val="批注框文本 Char"/>
    <w:basedOn w:val="15"/>
    <w:link w:val="9"/>
    <w:qFormat/>
    <w:uiPriority w:val="0"/>
    <w:rPr>
      <w:sz w:val="18"/>
      <w:szCs w:val="18"/>
    </w:rPr>
  </w:style>
  <w:style w:type="character" w:customStyle="1" w:styleId="27">
    <w:name w:val="font112"/>
    <w:basedOn w:val="15"/>
    <w:qFormat/>
    <w:uiPriority w:val="0"/>
    <w:rPr>
      <w:rFonts w:hint="eastAsia" w:ascii="宋体" w:hAnsi="宋体" w:eastAsia="宋体" w:cs="宋体"/>
      <w:b/>
      <w:bCs/>
      <w:color w:val="000000"/>
      <w:sz w:val="20"/>
      <w:szCs w:val="20"/>
      <w:u w:val="none"/>
    </w:rPr>
  </w:style>
  <w:style w:type="character" w:customStyle="1" w:styleId="28">
    <w:name w:val="font121"/>
    <w:basedOn w:val="15"/>
    <w:qFormat/>
    <w:uiPriority w:val="0"/>
    <w:rPr>
      <w:rFonts w:hint="eastAsia" w:ascii="宋体" w:hAnsi="宋体" w:eastAsia="宋体" w:cs="宋体"/>
      <w:b/>
      <w:bCs/>
      <w:color w:val="000000"/>
      <w:sz w:val="20"/>
      <w:szCs w:val="20"/>
      <w:u w:val="none"/>
    </w:rPr>
  </w:style>
  <w:style w:type="character" w:customStyle="1" w:styleId="29">
    <w:name w:val="font101"/>
    <w:basedOn w:val="15"/>
    <w:qFormat/>
    <w:uiPriority w:val="0"/>
    <w:rPr>
      <w:rFonts w:hint="eastAsia" w:ascii="宋体" w:hAnsi="宋体" w:eastAsia="宋体" w:cs="宋体"/>
      <w:color w:val="000000"/>
      <w:sz w:val="20"/>
      <w:szCs w:val="20"/>
      <w:u w:val="none"/>
    </w:rPr>
  </w:style>
  <w:style w:type="character" w:customStyle="1" w:styleId="30">
    <w:name w:val="font141"/>
    <w:basedOn w:val="15"/>
    <w:qFormat/>
    <w:uiPriority w:val="0"/>
    <w:rPr>
      <w:rFonts w:hint="eastAsia" w:ascii="宋体" w:hAnsi="宋体" w:eastAsia="宋体" w:cs="宋体"/>
      <w:color w:val="000000"/>
      <w:sz w:val="20"/>
      <w:szCs w:val="20"/>
      <w:u w:val="none"/>
    </w:rPr>
  </w:style>
  <w:style w:type="character" w:customStyle="1" w:styleId="31">
    <w:name w:val="font151"/>
    <w:basedOn w:val="15"/>
    <w:qFormat/>
    <w:uiPriority w:val="0"/>
    <w:rPr>
      <w:rFonts w:hint="default" w:ascii="Times New Roman" w:hAnsi="Times New Roman" w:cs="Times New Roman"/>
      <w:color w:val="000000"/>
      <w:sz w:val="20"/>
      <w:szCs w:val="20"/>
      <w:u w:val="none"/>
    </w:rPr>
  </w:style>
  <w:style w:type="character" w:customStyle="1" w:styleId="32">
    <w:name w:val="font161"/>
    <w:basedOn w:val="15"/>
    <w:qFormat/>
    <w:uiPriority w:val="0"/>
    <w:rPr>
      <w:rFonts w:hint="eastAsia" w:ascii="宋体" w:hAnsi="宋体" w:eastAsia="宋体" w:cs="宋体"/>
      <w:color w:val="000000"/>
      <w:sz w:val="20"/>
      <w:szCs w:val="20"/>
      <w:u w:val="none"/>
    </w:rPr>
  </w:style>
  <w:style w:type="table" w:customStyle="1" w:styleId="33">
    <w:name w:val="Table Normal"/>
    <w:unhideWhenUsed/>
    <w:qFormat/>
    <w:uiPriority w:val="0"/>
    <w:tblPr>
      <w:tblCellMar>
        <w:top w:w="0" w:type="dxa"/>
        <w:left w:w="0" w:type="dxa"/>
        <w:bottom w:w="0" w:type="dxa"/>
        <w:right w:w="0" w:type="dxa"/>
      </w:tblCellMar>
    </w:tblPr>
  </w:style>
  <w:style w:type="character" w:customStyle="1" w:styleId="34">
    <w:name w:val="正文文本缩进 Char"/>
    <w:basedOn w:val="15"/>
    <w:link w:val="7"/>
    <w:semiHidden/>
    <w:qFormat/>
    <w:uiPriority w:val="99"/>
    <w:rPr>
      <w:kern w:val="2"/>
      <w:sz w:val="21"/>
      <w:szCs w:val="22"/>
    </w:rPr>
  </w:style>
  <w:style w:type="character" w:customStyle="1" w:styleId="35">
    <w:name w:val="NormalCharacter"/>
    <w:semiHidden/>
    <w:qFormat/>
    <w:uiPriority w:val="99"/>
  </w:style>
  <w:style w:type="character" w:customStyle="1" w:styleId="36">
    <w:name w:val="font31"/>
    <w:basedOn w:val="15"/>
    <w:qFormat/>
    <w:uiPriority w:val="0"/>
    <w:rPr>
      <w:rFonts w:hint="eastAsia" w:ascii="黑体" w:hAnsi="宋体" w:eastAsia="黑体" w:cs="黑体"/>
      <w:color w:val="000000"/>
      <w:sz w:val="24"/>
      <w:szCs w:val="24"/>
      <w:u w:val="none"/>
    </w:rPr>
  </w:style>
  <w:style w:type="character" w:customStyle="1" w:styleId="37">
    <w:name w:val="font21"/>
    <w:basedOn w:val="15"/>
    <w:qFormat/>
    <w:uiPriority w:val="0"/>
    <w:rPr>
      <w:rFonts w:hint="eastAsia" w:ascii="黑体" w:hAnsi="宋体" w:eastAsia="黑体" w:cs="黑体"/>
      <w:color w:val="000000"/>
      <w:sz w:val="22"/>
      <w:szCs w:val="22"/>
      <w:u w:val="none"/>
    </w:rPr>
  </w:style>
  <w:style w:type="character" w:customStyle="1" w:styleId="38">
    <w:name w:val="font01"/>
    <w:basedOn w:val="15"/>
    <w:qFormat/>
    <w:uiPriority w:val="0"/>
    <w:rPr>
      <w:rFonts w:hint="eastAsia" w:ascii="宋体" w:hAnsi="宋体" w:eastAsia="宋体" w:cs="宋体"/>
      <w:color w:val="000000"/>
      <w:sz w:val="22"/>
      <w:szCs w:val="22"/>
      <w:u w:val="none"/>
    </w:rPr>
  </w:style>
  <w:style w:type="character" w:customStyle="1" w:styleId="39">
    <w:name w:val="font41"/>
    <w:basedOn w:val="15"/>
    <w:qFormat/>
    <w:uiPriority w:val="0"/>
    <w:rPr>
      <w:rFonts w:hint="eastAsia" w:ascii="宋体" w:hAnsi="宋体" w:eastAsia="宋体" w:cs="宋体"/>
      <w:color w:val="000000"/>
      <w:sz w:val="24"/>
      <w:szCs w:val="24"/>
      <w:u w:val="none"/>
    </w:rPr>
  </w:style>
  <w:style w:type="paragraph" w:customStyle="1" w:styleId="40">
    <w:name w:val="BodyText1I2"/>
    <w:basedOn w:val="41"/>
    <w:qFormat/>
    <w:uiPriority w:val="0"/>
    <w:pPr>
      <w:ind w:firstLine="420" w:firstLineChars="200"/>
    </w:pPr>
  </w:style>
  <w:style w:type="paragraph" w:customStyle="1" w:styleId="41">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4835</Words>
  <Characters>5090</Characters>
  <Lines>48</Lines>
  <Paragraphs>13</Paragraphs>
  <TotalTime>20</TotalTime>
  <ScaleCrop>false</ScaleCrop>
  <LinksUpToDate>false</LinksUpToDate>
  <CharactersWithSpaces>5186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2023-06-28T10:23:00Z</dcterms:created>
  <dc:creator>听雨</dc:creator>
  <cp:lastModifiedBy>WPS_1559527656</cp:lastModifiedBy>
  <cp:lastPrinted>2023-07-05T09:31:00Z</cp:lastPrinted>
  <dcterms:modified xsi:type="dcterms:W3CDTF">2023-11-24T06:46:04Z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5379F09FDC374EC7B64C0C0C0B1708FA_13</vt:lpwstr>
  </property>
</Properties>
</file>